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66311" w14:textId="6135EC9D" w:rsidR="00926220" w:rsidRPr="002779F6" w:rsidRDefault="002F0166" w:rsidP="002779F6">
      <w:pPr>
        <w:spacing w:after="0"/>
        <w:rPr>
          <w:rFonts w:asciiTheme="minorHAnsi" w:hAnsiTheme="minorHAnsi"/>
        </w:rPr>
      </w:pPr>
      <w:bookmarkStart w:id="0" w:name="_Hlk33432474"/>
      <w:r w:rsidRPr="002779F6">
        <w:rPr>
          <w:rFonts w:asciiTheme="minorHAnsi" w:eastAsia="Times New Roman" w:hAnsiTheme="minorHAnsi" w:cs="Times New Roman"/>
          <w:b/>
          <w:sz w:val="32"/>
        </w:rPr>
        <w:t>Exhibit A – Allowable Costs</w:t>
      </w:r>
    </w:p>
    <w:bookmarkEnd w:id="0"/>
    <w:p w14:paraId="59C38C85" w14:textId="77777777" w:rsidR="00926220" w:rsidRPr="002779F6" w:rsidRDefault="002F0166">
      <w:pPr>
        <w:spacing w:after="0"/>
        <w:rPr>
          <w:rFonts w:asciiTheme="minorHAnsi" w:hAnsiTheme="minorHAnsi"/>
        </w:rPr>
      </w:pPr>
      <w:r w:rsidRPr="002779F6">
        <w:rPr>
          <w:rFonts w:asciiTheme="minorHAnsi" w:eastAsia="Times New Roman" w:hAnsiTheme="minorHAnsi" w:cs="Times New Roman"/>
          <w:sz w:val="24"/>
        </w:rPr>
        <w:t xml:space="preserve"> </w:t>
      </w:r>
    </w:p>
    <w:p w14:paraId="3DF2A235" w14:textId="77777777" w:rsidR="00926220" w:rsidRPr="00DA4653" w:rsidRDefault="002F0166" w:rsidP="002779F6">
      <w:pPr>
        <w:spacing w:after="0"/>
        <w:rPr>
          <w:rFonts w:asciiTheme="minorHAnsi" w:hAnsiTheme="minorHAnsi"/>
          <w:b/>
        </w:rPr>
      </w:pPr>
      <w:r w:rsidRPr="00DA4653">
        <w:rPr>
          <w:rFonts w:asciiTheme="minorHAnsi" w:eastAsia="Times New Roman" w:hAnsiTheme="minorHAnsi" w:cs="Times New Roman"/>
          <w:b/>
          <w:sz w:val="24"/>
        </w:rPr>
        <w:t xml:space="preserve"> </w:t>
      </w:r>
      <w:r w:rsidRPr="00DA4653">
        <w:rPr>
          <w:rFonts w:asciiTheme="minorHAnsi" w:eastAsia="Times New Roman" w:hAnsiTheme="minorHAnsi" w:cs="Times New Roman"/>
          <w:b/>
        </w:rPr>
        <w:t xml:space="preserve">The purpose of this exhibit is to: </w:t>
      </w:r>
    </w:p>
    <w:p w14:paraId="2045A791" w14:textId="77777777" w:rsidR="00926220" w:rsidRPr="002779F6" w:rsidRDefault="002F0166">
      <w:pPr>
        <w:numPr>
          <w:ilvl w:val="0"/>
          <w:numId w:val="1"/>
        </w:numPr>
        <w:spacing w:after="11" w:line="249" w:lineRule="auto"/>
        <w:ind w:right="730" w:hanging="360"/>
        <w:jc w:val="both"/>
        <w:rPr>
          <w:rFonts w:asciiTheme="minorHAnsi" w:hAnsiTheme="minorHAnsi"/>
        </w:rPr>
      </w:pPr>
      <w:r w:rsidRPr="002779F6">
        <w:rPr>
          <w:rFonts w:asciiTheme="minorHAnsi" w:eastAsia="Times New Roman" w:hAnsiTheme="minorHAnsi" w:cs="Times New Roman"/>
        </w:rPr>
        <w:t xml:space="preserve">Provide further guidance on the allowable and unallowable costs for this grant. </w:t>
      </w:r>
    </w:p>
    <w:p w14:paraId="2B3A3720" w14:textId="00F516F4" w:rsidR="00926220" w:rsidRPr="002779F6" w:rsidRDefault="002F0166">
      <w:pPr>
        <w:numPr>
          <w:ilvl w:val="0"/>
          <w:numId w:val="1"/>
        </w:numPr>
        <w:spacing w:after="11" w:line="249" w:lineRule="auto"/>
        <w:ind w:right="730" w:hanging="360"/>
        <w:jc w:val="both"/>
        <w:rPr>
          <w:rFonts w:asciiTheme="minorHAnsi" w:hAnsiTheme="minorHAnsi"/>
        </w:rPr>
      </w:pPr>
      <w:r w:rsidRPr="002779F6">
        <w:rPr>
          <w:rFonts w:asciiTheme="minorHAnsi" w:eastAsia="Times New Roman" w:hAnsiTheme="minorHAnsi" w:cs="Times New Roman"/>
        </w:rPr>
        <w:t xml:space="preserve">Define the budget and expenditure categories available for reporting allowable direct costs in </w:t>
      </w:r>
      <w:r w:rsidR="002779F6">
        <w:rPr>
          <w:rFonts w:asciiTheme="minorHAnsi" w:eastAsia="Times New Roman" w:hAnsiTheme="minorHAnsi" w:cs="Times New Roman"/>
        </w:rPr>
        <w:t xml:space="preserve">the </w:t>
      </w:r>
      <w:r w:rsidR="0089658E">
        <w:rPr>
          <w:rFonts w:asciiTheme="minorHAnsi" w:eastAsia="Times New Roman" w:hAnsiTheme="minorHAnsi" w:cs="Times New Roman"/>
        </w:rPr>
        <w:t>Grants Management System (GMS</w:t>
      </w:r>
      <w:r w:rsidR="002779F6">
        <w:rPr>
          <w:rFonts w:asciiTheme="minorHAnsi" w:eastAsia="Times New Roman" w:hAnsiTheme="minorHAnsi" w:cs="Times New Roman"/>
        </w:rPr>
        <w:t>)</w:t>
      </w:r>
      <w:r w:rsidRPr="002779F6">
        <w:rPr>
          <w:rFonts w:asciiTheme="minorHAnsi" w:eastAsia="Times New Roman" w:hAnsiTheme="minorHAnsi" w:cs="Times New Roman"/>
        </w:rPr>
        <w:t xml:space="preserve">. </w:t>
      </w:r>
    </w:p>
    <w:p w14:paraId="00228BC4" w14:textId="08F00D75" w:rsidR="002779F6" w:rsidRDefault="002779F6">
      <w:pPr>
        <w:spacing w:after="0"/>
        <w:rPr>
          <w:rFonts w:asciiTheme="minorHAnsi" w:hAnsiTheme="minorHAnsi"/>
        </w:rPr>
      </w:pPr>
    </w:p>
    <w:p w14:paraId="4858828B" w14:textId="77777777" w:rsidR="00926220" w:rsidRPr="002779F6" w:rsidRDefault="002F0166">
      <w:pPr>
        <w:spacing w:after="0"/>
        <w:rPr>
          <w:rFonts w:asciiTheme="minorHAnsi" w:hAnsiTheme="minorHAnsi"/>
        </w:rPr>
      </w:pPr>
      <w:r w:rsidRPr="002779F6">
        <w:rPr>
          <w:rFonts w:asciiTheme="minorHAnsi" w:eastAsia="Times New Roman" w:hAnsiTheme="minorHAnsi" w:cs="Times New Roman"/>
          <w:b/>
          <w:u w:val="single"/>
        </w:rPr>
        <w:t xml:space="preserve">Allowable Costs </w:t>
      </w:r>
    </w:p>
    <w:p w14:paraId="0694EC03" w14:textId="76405BBA" w:rsidR="00926220" w:rsidRPr="002779F6" w:rsidRDefault="002F0166" w:rsidP="002779F6">
      <w:pPr>
        <w:spacing w:after="0"/>
        <w:rPr>
          <w:rFonts w:asciiTheme="minorHAnsi" w:hAnsiTheme="minorHAnsi"/>
          <w:b/>
        </w:rPr>
      </w:pPr>
      <w:r w:rsidRPr="002779F6">
        <w:rPr>
          <w:rFonts w:asciiTheme="minorHAnsi" w:hAnsiTheme="minorHAnsi"/>
          <w:b/>
        </w:rPr>
        <w:t xml:space="preserve">Indirect Costs </w:t>
      </w:r>
    </w:p>
    <w:p w14:paraId="739B095F" w14:textId="48DF7F8F" w:rsidR="00DA238D" w:rsidRDefault="00B85765" w:rsidP="04B75FE1">
      <w:pPr>
        <w:spacing w:after="11" w:line="249" w:lineRule="auto"/>
        <w:ind w:left="10" w:right="730" w:hanging="10"/>
        <w:jc w:val="both"/>
        <w:rPr>
          <w:rFonts w:asciiTheme="minorHAnsi" w:eastAsia="Times New Roman" w:hAnsiTheme="minorHAnsi" w:cs="Times New Roman"/>
        </w:rPr>
      </w:pPr>
      <w:r w:rsidRPr="04B75FE1">
        <w:rPr>
          <w:rFonts w:asciiTheme="minorHAnsi" w:eastAsia="Times New Roman" w:hAnsiTheme="minorHAnsi" w:cs="Times New Roman"/>
        </w:rPr>
        <w:t>USDOE requires grants with a no supplant provision, such as Part C (</w:t>
      </w:r>
      <w:r>
        <w:t xml:space="preserve">34 CFR 303.225c) to follow specific regulations for indirect costs, which are contained in </w:t>
      </w:r>
      <w:r w:rsidRPr="04B75FE1">
        <w:rPr>
          <w:rFonts w:asciiTheme="minorHAnsi" w:eastAsia="Times New Roman" w:hAnsiTheme="minorHAnsi" w:cs="Times New Roman"/>
        </w:rPr>
        <w:t>EDGAR 34 CFR 76.560-76.580</w:t>
      </w:r>
      <w:r>
        <w:t xml:space="preserve">. </w:t>
      </w:r>
      <w:r w:rsidR="00CE5AFF">
        <w:t xml:space="preserve">Subrecipients choosing to charge indirect costs to this grant shall follow Section 1.5 of the Agreement. </w:t>
      </w:r>
      <w:r w:rsidR="00DA238D" w:rsidRPr="04B75FE1">
        <w:rPr>
          <w:rFonts w:asciiTheme="minorHAnsi" w:eastAsia="Times New Roman" w:hAnsiTheme="minorHAnsi" w:cs="Times New Roman"/>
        </w:rPr>
        <w:t xml:space="preserve"> </w:t>
      </w:r>
    </w:p>
    <w:p w14:paraId="412D7222" w14:textId="07804C62" w:rsidR="00F44CA0" w:rsidRDefault="00F44CA0" w:rsidP="04B75FE1">
      <w:pPr>
        <w:spacing w:after="11" w:line="249" w:lineRule="auto"/>
        <w:ind w:left="10" w:right="730" w:hanging="10"/>
        <w:jc w:val="both"/>
        <w:rPr>
          <w:rFonts w:asciiTheme="minorHAnsi" w:eastAsia="Times New Roman" w:hAnsiTheme="minorHAnsi" w:cs="Times New Roman"/>
        </w:rPr>
      </w:pPr>
    </w:p>
    <w:p w14:paraId="5732D56A" w14:textId="77777777" w:rsidR="00F44CA0" w:rsidRPr="00F44CA0" w:rsidRDefault="00F44CA0" w:rsidP="04B75FE1">
      <w:pPr>
        <w:spacing w:after="11" w:line="249" w:lineRule="auto"/>
        <w:ind w:left="10" w:right="730" w:hanging="10"/>
        <w:jc w:val="both"/>
        <w:rPr>
          <w:rFonts w:asciiTheme="minorHAnsi" w:eastAsia="Times New Roman" w:hAnsiTheme="minorHAnsi" w:cs="Times New Roman"/>
        </w:rPr>
      </w:pPr>
      <w:r w:rsidRPr="04B75FE1">
        <w:rPr>
          <w:rFonts w:asciiTheme="minorHAnsi" w:eastAsia="Times New Roman" w:hAnsiTheme="minorHAnsi" w:cs="Times New Roman"/>
          <w:u w:val="single"/>
        </w:rPr>
        <w:t>Indirect Costs.</w:t>
      </w:r>
      <w:r w:rsidRPr="04B75FE1">
        <w:rPr>
          <w:rFonts w:asciiTheme="minorHAnsi" w:eastAsia="Times New Roman" w:hAnsiTheme="minorHAnsi" w:cs="Times New Roman"/>
        </w:rPr>
        <w:t xml:space="preserve"> Indirect costs charged to the Grant shall be in accordance with 34 CFR 303.225(c) and 34 CFR 76.560-76.580. The maximum amount of indirect costs charged to the grant shall be determined by the following formula: </w:t>
      </w:r>
    </w:p>
    <w:p w14:paraId="51EDC0A4" w14:textId="77777777" w:rsidR="00F44CA0" w:rsidRDefault="00F44CA0" w:rsidP="04B75FE1">
      <w:pPr>
        <w:spacing w:after="11" w:line="249" w:lineRule="auto"/>
        <w:ind w:left="10" w:right="730" w:hanging="10"/>
        <w:jc w:val="both"/>
        <w:rPr>
          <w:rFonts w:asciiTheme="minorHAnsi" w:eastAsia="Times New Roman" w:hAnsiTheme="minorHAnsi" w:cs="Times New Roman"/>
        </w:rPr>
      </w:pPr>
    </w:p>
    <w:p w14:paraId="2545C6D8" w14:textId="77DF708D" w:rsidR="00F44CA0" w:rsidRPr="00F44CA0" w:rsidRDefault="00F44CA0" w:rsidP="04B75FE1">
      <w:pPr>
        <w:spacing w:after="11" w:line="249" w:lineRule="auto"/>
        <w:ind w:left="10" w:right="730" w:hanging="10"/>
        <w:jc w:val="both"/>
        <w:rPr>
          <w:rFonts w:asciiTheme="minorHAnsi" w:eastAsia="Times New Roman" w:hAnsiTheme="minorHAnsi" w:cs="Times New Roman"/>
        </w:rPr>
      </w:pPr>
      <w:r w:rsidRPr="04B75FE1">
        <w:rPr>
          <w:rFonts w:asciiTheme="minorHAnsi" w:eastAsia="Times New Roman" w:hAnsiTheme="minorHAnsi" w:cs="Times New Roman"/>
        </w:rPr>
        <w:t>Indirect costs= (Restricted indirect cost rate) x (Base)</w:t>
      </w:r>
    </w:p>
    <w:p w14:paraId="00EA251D" w14:textId="77777777" w:rsidR="00F44CA0" w:rsidRPr="00F44CA0" w:rsidRDefault="00F44CA0" w:rsidP="04B75FE1">
      <w:pPr>
        <w:spacing w:after="11" w:line="249" w:lineRule="auto"/>
        <w:ind w:left="10" w:right="730" w:hanging="10"/>
        <w:jc w:val="both"/>
        <w:rPr>
          <w:rFonts w:asciiTheme="minorHAnsi" w:eastAsia="Times New Roman" w:hAnsiTheme="minorHAnsi" w:cs="Times New Roman"/>
        </w:rPr>
      </w:pPr>
    </w:p>
    <w:p w14:paraId="319E7871" w14:textId="77777777" w:rsidR="00F44CA0" w:rsidRPr="00F44CA0" w:rsidRDefault="00F44CA0" w:rsidP="04B75FE1">
      <w:pPr>
        <w:spacing w:after="11" w:line="249" w:lineRule="auto"/>
        <w:ind w:left="10" w:right="730" w:hanging="10"/>
        <w:jc w:val="both"/>
        <w:rPr>
          <w:rFonts w:asciiTheme="minorHAnsi" w:eastAsia="Times New Roman" w:hAnsiTheme="minorHAnsi" w:cs="Times New Roman"/>
        </w:rPr>
      </w:pPr>
      <w:r w:rsidRPr="04B75FE1">
        <w:rPr>
          <w:rFonts w:asciiTheme="minorHAnsi" w:eastAsia="Times New Roman" w:hAnsiTheme="minorHAnsi" w:cs="Times New Roman"/>
        </w:rPr>
        <w:t xml:space="preserve">Base: Total direct costs excluding capital expenditures (including equipment as defined in this Section), alterations and renovations, food purchases, personal service contracts and subawards in excess of $25,000 per subcontract/subaward, previously charged indirect costs and flow through funds. </w:t>
      </w:r>
    </w:p>
    <w:p w14:paraId="277F55A7" w14:textId="77777777" w:rsidR="00F44CA0" w:rsidRPr="00F44CA0" w:rsidRDefault="00F44CA0" w:rsidP="04B75FE1">
      <w:pPr>
        <w:spacing w:after="11" w:line="249" w:lineRule="auto"/>
        <w:ind w:left="10" w:right="730" w:hanging="10"/>
        <w:jc w:val="both"/>
        <w:rPr>
          <w:rFonts w:asciiTheme="minorHAnsi" w:eastAsia="Times New Roman" w:hAnsiTheme="minorHAnsi" w:cs="Times New Roman"/>
        </w:rPr>
      </w:pPr>
    </w:p>
    <w:p w14:paraId="413B7F22" w14:textId="43F86F25" w:rsidR="000154D4" w:rsidRPr="000154D4" w:rsidRDefault="000154D4" w:rsidP="000154D4">
      <w:pPr>
        <w:spacing w:after="11" w:line="249" w:lineRule="auto"/>
        <w:ind w:left="10" w:right="730" w:hanging="10"/>
        <w:jc w:val="both"/>
        <w:rPr>
          <w:rFonts w:asciiTheme="minorHAnsi" w:eastAsia="Times New Roman" w:hAnsiTheme="minorHAnsi" w:cs="Times New Roman"/>
        </w:rPr>
      </w:pPr>
      <w:r w:rsidRPr="000154D4">
        <w:rPr>
          <w:rFonts w:asciiTheme="minorHAnsi" w:eastAsia="Times New Roman" w:hAnsiTheme="minorHAnsi" w:cs="Times New Roman"/>
        </w:rPr>
        <w:t xml:space="preserve">Subrecipients with USDOE as their cognizant agency shall use the Restricted Indirect Cost Rate (RICR) approved by the Ohio Department of Education (ODE) to charge indirect costs to the grant. Subrecipients are required to upload their most recently approved provisional or final restricted indirect cost rate letter from ODE when creating budgets in GMS. Subrecipients must submit final rate approval letters from ODE no later than June 1, 2022 for </w:t>
      </w:r>
      <w:r w:rsidR="00890868">
        <w:rPr>
          <w:rFonts w:asciiTheme="minorHAnsi" w:eastAsia="Times New Roman" w:hAnsiTheme="minorHAnsi" w:cs="Times New Roman"/>
        </w:rPr>
        <w:t>FY22</w:t>
      </w:r>
      <w:r w:rsidRPr="000154D4">
        <w:rPr>
          <w:rFonts w:asciiTheme="minorHAnsi" w:eastAsia="Times New Roman" w:hAnsiTheme="minorHAnsi" w:cs="Times New Roman"/>
        </w:rPr>
        <w:t xml:space="preserve"> and June 1, 2023 for </w:t>
      </w:r>
      <w:r w:rsidR="00890868">
        <w:rPr>
          <w:rFonts w:asciiTheme="minorHAnsi" w:eastAsia="Times New Roman" w:hAnsiTheme="minorHAnsi" w:cs="Times New Roman"/>
        </w:rPr>
        <w:t>FY23</w:t>
      </w:r>
      <w:r w:rsidRPr="000154D4">
        <w:rPr>
          <w:rFonts w:asciiTheme="minorHAnsi" w:eastAsia="Times New Roman" w:hAnsiTheme="minorHAnsi" w:cs="Times New Roman"/>
        </w:rPr>
        <w:t xml:space="preserve">. All indirect costs charged to the grant using a provisional rate shall be reconciled with the final rate no later than June 24 of each grant year. If necessary, Subrecipients shall request budget modifications and enter offsets in GMS as needed to ensure that the total amount charged to indirect costs aligns with the final rate approved by ODE. </w:t>
      </w:r>
    </w:p>
    <w:p w14:paraId="05E51AA2" w14:textId="77777777" w:rsidR="000154D4" w:rsidRPr="00F44CA0" w:rsidRDefault="000154D4" w:rsidP="04B75FE1">
      <w:pPr>
        <w:spacing w:after="11" w:line="249" w:lineRule="auto"/>
        <w:ind w:left="10" w:right="730" w:hanging="10"/>
        <w:jc w:val="both"/>
        <w:rPr>
          <w:rFonts w:asciiTheme="minorHAnsi" w:eastAsia="Times New Roman" w:hAnsiTheme="minorHAnsi" w:cs="Times New Roman"/>
        </w:rPr>
      </w:pPr>
    </w:p>
    <w:p w14:paraId="5FFF10C2" w14:textId="375B0AF1" w:rsidR="00F44CA0" w:rsidRPr="00DA238D" w:rsidRDefault="00F44CA0" w:rsidP="04B75FE1">
      <w:pPr>
        <w:spacing w:after="11" w:line="249" w:lineRule="auto"/>
        <w:ind w:left="10" w:right="730" w:hanging="10"/>
        <w:jc w:val="both"/>
        <w:rPr>
          <w:rFonts w:asciiTheme="minorHAnsi" w:eastAsia="Times New Roman" w:hAnsiTheme="minorHAnsi" w:cs="Times New Roman"/>
        </w:rPr>
      </w:pPr>
      <w:r w:rsidRPr="1FAC8B10">
        <w:rPr>
          <w:rFonts w:asciiTheme="minorHAnsi" w:eastAsia="Times New Roman" w:hAnsiTheme="minorHAnsi" w:cs="Times New Roman"/>
        </w:rPr>
        <w:t xml:space="preserve">For Subrecipients that do not have USDOE as their cognizant agency, the RICR is 8%. Subrecipients charging indirect costs are required to submit documentation in </w:t>
      </w:r>
      <w:r w:rsidR="008B5738">
        <w:rPr>
          <w:rFonts w:asciiTheme="minorHAnsi" w:eastAsia="Times New Roman" w:hAnsiTheme="minorHAnsi" w:cs="Times New Roman"/>
        </w:rPr>
        <w:t>GMS</w:t>
      </w:r>
      <w:r w:rsidRPr="1FAC8B10">
        <w:rPr>
          <w:rFonts w:asciiTheme="minorHAnsi" w:eastAsia="Times New Roman" w:hAnsiTheme="minorHAnsi" w:cs="Times New Roman"/>
        </w:rPr>
        <w:t xml:space="preserve"> in accordance with Section 3.</w:t>
      </w:r>
      <w:r w:rsidR="362FB43C" w:rsidRPr="1FAC8B10">
        <w:rPr>
          <w:rFonts w:asciiTheme="minorHAnsi" w:eastAsia="Times New Roman" w:hAnsiTheme="minorHAnsi" w:cs="Times New Roman"/>
        </w:rPr>
        <w:t>2</w:t>
      </w:r>
      <w:r w:rsidRPr="1FAC8B10">
        <w:rPr>
          <w:rFonts w:asciiTheme="minorHAnsi" w:eastAsia="Times New Roman" w:hAnsiTheme="minorHAnsi" w:cs="Times New Roman"/>
        </w:rPr>
        <w:t xml:space="preserve"> of the Agreement.</w:t>
      </w:r>
    </w:p>
    <w:p w14:paraId="1412A236" w14:textId="0B0A0F19" w:rsidR="00926220" w:rsidRPr="002779F6" w:rsidRDefault="00926220">
      <w:pPr>
        <w:spacing w:after="0"/>
        <w:rPr>
          <w:rFonts w:asciiTheme="minorHAnsi" w:hAnsiTheme="minorHAnsi"/>
        </w:rPr>
      </w:pPr>
    </w:p>
    <w:p w14:paraId="29E5BA39" w14:textId="77777777" w:rsidR="00926220" w:rsidRPr="002779F6" w:rsidRDefault="002F0166">
      <w:pPr>
        <w:pStyle w:val="Heading1"/>
        <w:ind w:left="-5"/>
        <w:rPr>
          <w:rFonts w:asciiTheme="minorHAnsi" w:hAnsiTheme="minorHAnsi"/>
          <w:b/>
          <w:sz w:val="22"/>
          <w:u w:val="none"/>
        </w:rPr>
      </w:pPr>
      <w:r w:rsidRPr="002779F6">
        <w:rPr>
          <w:rFonts w:asciiTheme="minorHAnsi" w:hAnsiTheme="minorHAnsi"/>
          <w:b/>
          <w:sz w:val="22"/>
          <w:u w:val="none"/>
        </w:rPr>
        <w:t xml:space="preserve">Direct Costs </w:t>
      </w:r>
    </w:p>
    <w:p w14:paraId="0B59E6F7" w14:textId="77777777" w:rsidR="00151EFC" w:rsidRDefault="0050307C" w:rsidP="00213125">
      <w:pPr>
        <w:spacing w:after="11" w:line="249" w:lineRule="auto"/>
        <w:ind w:left="10" w:right="730" w:hanging="10"/>
        <w:jc w:val="both"/>
        <w:rPr>
          <w:rFonts w:asciiTheme="minorHAnsi" w:eastAsia="Times New Roman" w:hAnsiTheme="minorHAnsi" w:cs="Times New Roman"/>
        </w:rPr>
      </w:pPr>
      <w:r w:rsidRPr="0050307C">
        <w:rPr>
          <w:rFonts w:asciiTheme="minorHAnsi" w:eastAsia="Times New Roman" w:hAnsiTheme="minorHAnsi" w:cs="Times New Roman"/>
        </w:rPr>
        <w:t xml:space="preserve">Grant funds shall be used </w:t>
      </w:r>
      <w:r w:rsidRPr="0050307C">
        <w:rPr>
          <w:rFonts w:asciiTheme="minorHAnsi" w:eastAsia="Times New Roman" w:hAnsiTheme="minorHAnsi" w:cs="Times New Roman"/>
          <w:bCs/>
        </w:rPr>
        <w:t xml:space="preserve">in accordance with </w:t>
      </w:r>
      <w:r w:rsidR="00ED5199">
        <w:rPr>
          <w:rFonts w:asciiTheme="minorHAnsi" w:eastAsia="Times New Roman" w:hAnsiTheme="minorHAnsi" w:cs="Times New Roman"/>
          <w:bCs/>
        </w:rPr>
        <w:t>Section 1.1 of this Agreement.</w:t>
      </w:r>
      <w:r>
        <w:rPr>
          <w:rFonts w:asciiTheme="minorHAnsi" w:eastAsia="Times New Roman" w:hAnsiTheme="minorHAnsi" w:cs="Times New Roman"/>
          <w:bCs/>
        </w:rPr>
        <w:t xml:space="preserve"> </w:t>
      </w:r>
      <w:r w:rsidR="00213125">
        <w:rPr>
          <w:rFonts w:asciiTheme="minorHAnsi" w:eastAsia="Times New Roman" w:hAnsiTheme="minorHAnsi" w:cs="Times New Roman"/>
        </w:rPr>
        <w:t>Direct costs for providing these services shall be charged in accordance with</w:t>
      </w:r>
      <w:r w:rsidR="00213125" w:rsidRPr="00213125">
        <w:rPr>
          <w:rFonts w:asciiTheme="minorHAnsi" w:eastAsia="Times New Roman" w:hAnsiTheme="minorHAnsi" w:cs="Times New Roman"/>
        </w:rPr>
        <w:t xml:space="preserve"> Office of Management and Budget Uniform Guidance 2 CFR 200, as adopted by the USDOE</w:t>
      </w:r>
      <w:r w:rsidR="00213125">
        <w:rPr>
          <w:rFonts w:asciiTheme="minorHAnsi" w:eastAsia="Times New Roman" w:hAnsiTheme="minorHAnsi" w:cs="Times New Roman"/>
        </w:rPr>
        <w:t xml:space="preserve"> in 34 CFR EDGAR. </w:t>
      </w:r>
    </w:p>
    <w:p w14:paraId="6D25F6EB" w14:textId="53AC12CB" w:rsidR="00926220" w:rsidRPr="00213125" w:rsidRDefault="00213125" w:rsidP="00213125">
      <w:pPr>
        <w:spacing w:after="11" w:line="249" w:lineRule="auto"/>
        <w:ind w:left="10" w:right="730" w:hanging="10"/>
        <w:jc w:val="both"/>
        <w:rPr>
          <w:rFonts w:asciiTheme="minorHAnsi" w:eastAsia="Times New Roman" w:hAnsiTheme="minorHAnsi" w:cs="Times New Roman"/>
        </w:rPr>
      </w:pPr>
      <w:r>
        <w:rPr>
          <w:rFonts w:asciiTheme="minorHAnsi" w:eastAsia="Times New Roman" w:hAnsiTheme="minorHAnsi" w:cs="Times New Roman"/>
        </w:rPr>
        <w:t>Allowable direct costs</w:t>
      </w:r>
      <w:r w:rsidR="002F0166" w:rsidRPr="002779F6">
        <w:rPr>
          <w:rFonts w:asciiTheme="minorHAnsi" w:eastAsia="Times New Roman" w:hAnsiTheme="minorHAnsi" w:cs="Times New Roman"/>
        </w:rPr>
        <w:t xml:space="preserve">: </w:t>
      </w:r>
    </w:p>
    <w:p w14:paraId="647E89E2" w14:textId="77777777" w:rsidR="00926220" w:rsidRPr="002779F6" w:rsidRDefault="002F0166">
      <w:pPr>
        <w:numPr>
          <w:ilvl w:val="0"/>
          <w:numId w:val="2"/>
        </w:numPr>
        <w:spacing w:after="11" w:line="249" w:lineRule="auto"/>
        <w:ind w:right="730" w:hanging="360"/>
        <w:jc w:val="both"/>
        <w:rPr>
          <w:rFonts w:asciiTheme="minorHAnsi" w:hAnsiTheme="minorHAnsi"/>
        </w:rPr>
      </w:pPr>
      <w:r w:rsidRPr="002779F6">
        <w:rPr>
          <w:rFonts w:asciiTheme="minorHAnsi" w:eastAsia="Times New Roman" w:hAnsiTheme="minorHAnsi" w:cs="Times New Roman"/>
        </w:rPr>
        <w:t xml:space="preserve">Meet the purpose of this grant as outlined in the grant agreement. </w:t>
      </w:r>
    </w:p>
    <w:p w14:paraId="657C8E52" w14:textId="77777777" w:rsidR="00926220" w:rsidRPr="002779F6" w:rsidRDefault="00213125">
      <w:pPr>
        <w:numPr>
          <w:ilvl w:val="0"/>
          <w:numId w:val="2"/>
        </w:numPr>
        <w:spacing w:after="11" w:line="249" w:lineRule="auto"/>
        <w:ind w:right="730" w:hanging="360"/>
        <w:jc w:val="both"/>
        <w:rPr>
          <w:rFonts w:asciiTheme="minorHAnsi" w:hAnsiTheme="minorHAnsi"/>
        </w:rPr>
      </w:pPr>
      <w:r>
        <w:rPr>
          <w:rFonts w:asciiTheme="minorHAnsi" w:eastAsia="Times New Roman" w:hAnsiTheme="minorHAnsi" w:cs="Times New Roman"/>
        </w:rPr>
        <w:t>Are</w:t>
      </w:r>
      <w:r w:rsidR="002F0166" w:rsidRPr="002779F6">
        <w:rPr>
          <w:rFonts w:asciiTheme="minorHAnsi" w:eastAsia="Times New Roman" w:hAnsiTheme="minorHAnsi" w:cs="Times New Roman"/>
        </w:rPr>
        <w:t xml:space="preserve"> given consistent treatment. (A cost may not be assigned to a Federal award as a direct cost if any other cost incurred for the same purpose in like circumstances has been allocated to the Federal award as an indirect cost.) </w:t>
      </w:r>
    </w:p>
    <w:p w14:paraId="766CDD37" w14:textId="77777777" w:rsidR="00926220" w:rsidRPr="002779F6" w:rsidRDefault="00213125">
      <w:pPr>
        <w:numPr>
          <w:ilvl w:val="0"/>
          <w:numId w:val="2"/>
        </w:numPr>
        <w:spacing w:after="11" w:line="249" w:lineRule="auto"/>
        <w:ind w:right="730" w:hanging="360"/>
        <w:jc w:val="both"/>
        <w:rPr>
          <w:rFonts w:asciiTheme="minorHAnsi" w:hAnsiTheme="minorHAnsi"/>
        </w:rPr>
      </w:pPr>
      <w:r>
        <w:rPr>
          <w:rFonts w:asciiTheme="minorHAnsi" w:eastAsia="Times New Roman" w:hAnsiTheme="minorHAnsi" w:cs="Times New Roman"/>
        </w:rPr>
        <w:lastRenderedPageBreak/>
        <w:t>Must n</w:t>
      </w:r>
      <w:r w:rsidR="002F0166" w:rsidRPr="002779F6">
        <w:rPr>
          <w:rFonts w:asciiTheme="minorHAnsi" w:eastAsia="Times New Roman" w:hAnsiTheme="minorHAnsi" w:cs="Times New Roman"/>
        </w:rPr>
        <w:t xml:space="preserve">ot </w:t>
      </w:r>
      <w:r>
        <w:rPr>
          <w:rFonts w:asciiTheme="minorHAnsi" w:eastAsia="Times New Roman" w:hAnsiTheme="minorHAnsi" w:cs="Times New Roman"/>
        </w:rPr>
        <w:t xml:space="preserve">be </w:t>
      </w:r>
      <w:r w:rsidR="002F0166" w:rsidRPr="002779F6">
        <w:rPr>
          <w:rFonts w:asciiTheme="minorHAnsi" w:eastAsia="Times New Roman" w:hAnsiTheme="minorHAnsi" w:cs="Times New Roman"/>
        </w:rPr>
        <w:t>included as a cost</w:t>
      </w:r>
      <w:r>
        <w:rPr>
          <w:rFonts w:asciiTheme="minorHAnsi" w:eastAsia="Times New Roman" w:hAnsiTheme="minorHAnsi" w:cs="Times New Roman"/>
        </w:rPr>
        <w:t>,</w:t>
      </w:r>
      <w:r w:rsidR="002F0166" w:rsidRPr="002779F6">
        <w:rPr>
          <w:rFonts w:asciiTheme="minorHAnsi" w:eastAsia="Times New Roman" w:hAnsiTheme="minorHAnsi" w:cs="Times New Roman"/>
        </w:rPr>
        <w:t xml:space="preserve"> or used to meet cost sharing or matching requirements</w:t>
      </w:r>
      <w:r>
        <w:rPr>
          <w:rFonts w:asciiTheme="minorHAnsi" w:eastAsia="Times New Roman" w:hAnsiTheme="minorHAnsi" w:cs="Times New Roman"/>
        </w:rPr>
        <w:t>,</w:t>
      </w:r>
      <w:r w:rsidR="002F0166" w:rsidRPr="002779F6">
        <w:rPr>
          <w:rFonts w:asciiTheme="minorHAnsi" w:eastAsia="Times New Roman" w:hAnsiTheme="minorHAnsi" w:cs="Times New Roman"/>
        </w:rPr>
        <w:t xml:space="preserve"> of any other federally-financed program in either the current or a prior period. </w:t>
      </w:r>
    </w:p>
    <w:p w14:paraId="496F89BB" w14:textId="77777777" w:rsidR="00926220" w:rsidRPr="002779F6" w:rsidRDefault="002F0166">
      <w:pPr>
        <w:numPr>
          <w:ilvl w:val="0"/>
          <w:numId w:val="2"/>
        </w:numPr>
        <w:spacing w:after="11" w:line="249" w:lineRule="auto"/>
        <w:ind w:right="730" w:hanging="360"/>
        <w:jc w:val="both"/>
        <w:rPr>
          <w:rFonts w:asciiTheme="minorHAnsi" w:hAnsiTheme="minorHAnsi"/>
        </w:rPr>
      </w:pPr>
      <w:r w:rsidRPr="002779F6">
        <w:rPr>
          <w:rFonts w:asciiTheme="minorHAnsi" w:eastAsia="Times New Roman" w:hAnsiTheme="minorHAnsi" w:cs="Times New Roman"/>
        </w:rPr>
        <w:t xml:space="preserve">Are adequately documented. </w:t>
      </w:r>
    </w:p>
    <w:p w14:paraId="0E87BE0F" w14:textId="17BC87E8" w:rsidR="00151EFC" w:rsidRPr="00151EFC" w:rsidRDefault="002F0166" w:rsidP="00151EFC">
      <w:pPr>
        <w:numPr>
          <w:ilvl w:val="0"/>
          <w:numId w:val="2"/>
        </w:numPr>
        <w:spacing w:after="11" w:line="249" w:lineRule="auto"/>
        <w:ind w:right="730" w:hanging="360"/>
        <w:jc w:val="both"/>
        <w:rPr>
          <w:rFonts w:asciiTheme="minorHAnsi" w:hAnsiTheme="minorHAnsi"/>
        </w:rPr>
      </w:pPr>
      <w:r w:rsidRPr="002779F6">
        <w:rPr>
          <w:rFonts w:asciiTheme="minorHAnsi" w:eastAsia="Times New Roman" w:hAnsiTheme="minorHAnsi" w:cs="Times New Roman"/>
        </w:rPr>
        <w:t xml:space="preserve">Are reasonable. </w:t>
      </w:r>
    </w:p>
    <w:p w14:paraId="36B6A05B" w14:textId="17328B11" w:rsidR="00151EFC" w:rsidRDefault="00151EFC" w:rsidP="00151EFC">
      <w:pPr>
        <w:spacing w:after="11" w:line="249" w:lineRule="auto"/>
        <w:ind w:right="730"/>
        <w:jc w:val="both"/>
        <w:rPr>
          <w:rFonts w:asciiTheme="minorHAnsi" w:eastAsia="Times New Roman" w:hAnsiTheme="minorHAnsi" w:cs="Times New Roman"/>
        </w:rPr>
      </w:pPr>
    </w:p>
    <w:p w14:paraId="58172F9E" w14:textId="77777777" w:rsidR="00DE0729" w:rsidRDefault="00DE0729" w:rsidP="00DE0729">
      <w:pPr>
        <w:spacing w:after="0" w:line="240" w:lineRule="auto"/>
      </w:pPr>
      <w:r>
        <w:t>ARPA funds cannot be utilized for the following (unallowable costs):</w:t>
      </w:r>
    </w:p>
    <w:p w14:paraId="2139B623" w14:textId="030FC72B" w:rsidR="00716C18" w:rsidRDefault="000F5DAE" w:rsidP="00716C18">
      <w:pPr>
        <w:pStyle w:val="ListParagraph"/>
        <w:numPr>
          <w:ilvl w:val="0"/>
          <w:numId w:val="12"/>
        </w:numPr>
        <w:spacing w:after="0" w:line="240" w:lineRule="auto"/>
      </w:pPr>
      <w:r>
        <w:t>O</w:t>
      </w:r>
      <w:r w:rsidR="00716C18">
        <w:t>ut-of-state travel, purchase of vehicles.</w:t>
      </w:r>
    </w:p>
    <w:p w14:paraId="1943B62B" w14:textId="77777777" w:rsidR="00716C18" w:rsidRDefault="00716C18" w:rsidP="00716C18">
      <w:pPr>
        <w:pStyle w:val="ListParagraph"/>
        <w:numPr>
          <w:ilvl w:val="0"/>
          <w:numId w:val="11"/>
        </w:numPr>
        <w:spacing w:after="0" w:line="240" w:lineRule="auto"/>
      </w:pPr>
      <w:r>
        <w:t xml:space="preserve">ARPA funds cannot be used to cover costs already paid for by other funding sources (supplanting). Examples include using ARPA funds to pay for service coordination. Service Coordination costs are covered by the Early Intervention Service Coordination grant. Therefore, ARPA funds cannot be used to cover Service Coordination costs. </w:t>
      </w:r>
    </w:p>
    <w:p w14:paraId="55B05C7F" w14:textId="3B2B0721" w:rsidR="00716C18" w:rsidRPr="003A1056" w:rsidRDefault="00716C18" w:rsidP="00716C18">
      <w:pPr>
        <w:pStyle w:val="ListParagraph"/>
        <w:numPr>
          <w:ilvl w:val="0"/>
          <w:numId w:val="11"/>
        </w:numPr>
        <w:spacing w:after="0" w:line="240" w:lineRule="auto"/>
      </w:pPr>
      <w:r>
        <w:t xml:space="preserve">ARPA funds cannot be used to fund any project that is not sustainable long-term. Currently, ARPA funds are available for FY 22 &amp; 23.  ARPA funds should be used to enhance </w:t>
      </w:r>
      <w:r w:rsidRPr="003A1056">
        <w:t xml:space="preserve">your county’s EI program or create a feature that can be sustained after the ARPA funds end.  </w:t>
      </w:r>
    </w:p>
    <w:p w14:paraId="69D95BE9" w14:textId="26A037EC" w:rsidR="00716C18" w:rsidRDefault="00716C18" w:rsidP="00716C18">
      <w:pPr>
        <w:pStyle w:val="ListParagraph"/>
        <w:numPr>
          <w:ilvl w:val="0"/>
          <w:numId w:val="11"/>
        </w:numPr>
        <w:spacing w:after="0" w:line="240" w:lineRule="auto"/>
      </w:pPr>
      <w:r w:rsidRPr="003A1056">
        <w:t xml:space="preserve">Costs related to Help me Grow Home Visiting such as Parents as Teachers, Triple P, Conscious Discipline, etc. </w:t>
      </w:r>
    </w:p>
    <w:p w14:paraId="6B8E1473" w14:textId="2220F907" w:rsidR="001D0CB5" w:rsidRPr="003A1056" w:rsidRDefault="001D0CB5" w:rsidP="00716C18">
      <w:pPr>
        <w:pStyle w:val="ListParagraph"/>
        <w:numPr>
          <w:ilvl w:val="0"/>
          <w:numId w:val="11"/>
        </w:numPr>
        <w:spacing w:after="0" w:line="240" w:lineRule="auto"/>
      </w:pPr>
      <w:r>
        <w:t xml:space="preserve">All other costs that </w:t>
      </w:r>
      <w:r w:rsidR="00967340">
        <w:t xml:space="preserve">are identified as unallowable per </w:t>
      </w:r>
      <w:r w:rsidR="0073722A">
        <w:t xml:space="preserve">the OMB Uniform Guidance or are not in accordance with Section 1.1 of this Agreement. </w:t>
      </w:r>
    </w:p>
    <w:p w14:paraId="090DD402" w14:textId="3911F3F2" w:rsidR="00151EFC" w:rsidRPr="008B2257" w:rsidRDefault="00151EFC" w:rsidP="008B2257">
      <w:pPr>
        <w:pStyle w:val="ListParagraph"/>
        <w:spacing w:after="11" w:line="249" w:lineRule="auto"/>
        <w:ind w:right="730"/>
        <w:jc w:val="both"/>
        <w:rPr>
          <w:rFonts w:asciiTheme="minorHAnsi" w:hAnsiTheme="minorHAnsi"/>
        </w:rPr>
      </w:pPr>
    </w:p>
    <w:p w14:paraId="41A153EE" w14:textId="513560C4" w:rsidR="00926220" w:rsidRPr="002779F6" w:rsidRDefault="002F0166">
      <w:pPr>
        <w:spacing w:after="0"/>
        <w:rPr>
          <w:rFonts w:asciiTheme="minorHAnsi" w:hAnsiTheme="minorHAnsi"/>
        </w:rPr>
      </w:pPr>
      <w:r w:rsidRPr="002779F6">
        <w:rPr>
          <w:rFonts w:asciiTheme="minorHAnsi" w:eastAsia="Times New Roman" w:hAnsiTheme="minorHAnsi" w:cs="Times New Roman"/>
        </w:rPr>
        <w:t xml:space="preserve"> </w:t>
      </w:r>
    </w:p>
    <w:p w14:paraId="651DA84D" w14:textId="77777777" w:rsidR="00926220" w:rsidRPr="00DA4653" w:rsidRDefault="002F0166">
      <w:pPr>
        <w:spacing w:after="11" w:line="249" w:lineRule="auto"/>
        <w:ind w:left="10" w:right="730" w:hanging="10"/>
        <w:jc w:val="both"/>
        <w:rPr>
          <w:rFonts w:asciiTheme="minorHAnsi" w:hAnsiTheme="minorHAnsi"/>
          <w:b/>
        </w:rPr>
      </w:pPr>
      <w:r w:rsidRPr="00DA4653">
        <w:rPr>
          <w:rFonts w:asciiTheme="minorHAnsi" w:eastAsia="Times New Roman" w:hAnsiTheme="minorHAnsi" w:cs="Times New Roman"/>
          <w:b/>
        </w:rPr>
        <w:t xml:space="preserve">Allowable costs may be allocable:  </w:t>
      </w:r>
    </w:p>
    <w:p w14:paraId="3DCE7FD1" w14:textId="77777777" w:rsidR="00926220" w:rsidRPr="002779F6" w:rsidRDefault="002F0166" w:rsidP="00213125">
      <w:pPr>
        <w:spacing w:after="11" w:line="249" w:lineRule="auto"/>
        <w:ind w:left="10" w:right="730" w:hanging="10"/>
        <w:jc w:val="both"/>
        <w:rPr>
          <w:rFonts w:asciiTheme="minorHAnsi" w:hAnsiTheme="minorHAnsi"/>
        </w:rPr>
      </w:pPr>
      <w:r w:rsidRPr="002779F6">
        <w:rPr>
          <w:rFonts w:asciiTheme="minorHAnsi" w:eastAsia="Times New Roman" w:hAnsiTheme="minorHAnsi" w:cs="Times New Roman"/>
        </w:rPr>
        <w:t xml:space="preserve">If a cost benefits two or more projects or activities in proportions that can be determined without undue effort or cost, the cost must be allocated to the projects based on the proportional benefit. The method and calculation for this proportion must be documented.  </w:t>
      </w:r>
      <w:r w:rsidRPr="002779F6">
        <w:rPr>
          <w:rFonts w:asciiTheme="minorHAnsi" w:eastAsia="Times New Roman" w:hAnsiTheme="minorHAnsi" w:cs="Times New Roman"/>
          <w:sz w:val="24"/>
        </w:rPr>
        <w:t xml:space="preserve"> </w:t>
      </w:r>
    </w:p>
    <w:p w14:paraId="2C61C9DC" w14:textId="66DF4934" w:rsidR="00926220" w:rsidRPr="00DA4653" w:rsidRDefault="002F0166" w:rsidP="7A47057C">
      <w:pPr>
        <w:spacing w:after="0"/>
        <w:rPr>
          <w:rFonts w:asciiTheme="minorHAnsi" w:hAnsiTheme="minorHAnsi"/>
        </w:rPr>
      </w:pPr>
      <w:r w:rsidRPr="7A47057C">
        <w:rPr>
          <w:rFonts w:asciiTheme="minorHAnsi" w:eastAsia="Times New Roman" w:hAnsiTheme="minorHAnsi" w:cs="Times New Roman"/>
          <w:sz w:val="24"/>
          <w:szCs w:val="24"/>
        </w:rPr>
        <w:t xml:space="preserve"> </w:t>
      </w:r>
    </w:p>
    <w:p w14:paraId="0E48F8E0" w14:textId="28ABB547" w:rsidR="00926220" w:rsidRDefault="00DA4653" w:rsidP="7A47057C">
      <w:pPr>
        <w:spacing w:after="0"/>
        <w:rPr>
          <w:rFonts w:asciiTheme="minorHAnsi" w:hAnsiTheme="minorHAnsi"/>
          <w:b/>
          <w:bCs/>
        </w:rPr>
      </w:pPr>
      <w:r w:rsidRPr="7A47057C">
        <w:rPr>
          <w:rFonts w:asciiTheme="minorHAnsi" w:hAnsiTheme="minorHAnsi"/>
          <w:b/>
          <w:bCs/>
        </w:rPr>
        <w:t>Allowable Direct Cost Examples</w:t>
      </w:r>
      <w:r w:rsidR="0073722A">
        <w:rPr>
          <w:rFonts w:asciiTheme="minorHAnsi" w:hAnsiTheme="minorHAnsi"/>
          <w:b/>
          <w:bCs/>
        </w:rPr>
        <w:t xml:space="preserve"> for the EI ARPA Grant</w:t>
      </w:r>
    </w:p>
    <w:tbl>
      <w:tblPr>
        <w:tblStyle w:val="TableGrid1"/>
        <w:tblW w:w="9997" w:type="dxa"/>
        <w:tblInd w:w="-329" w:type="dxa"/>
        <w:tblCellMar>
          <w:top w:w="16" w:type="dxa"/>
          <w:left w:w="36" w:type="dxa"/>
          <w:bottom w:w="9" w:type="dxa"/>
          <w:right w:w="19" w:type="dxa"/>
        </w:tblCellMar>
        <w:tblLook w:val="04A0" w:firstRow="1" w:lastRow="0" w:firstColumn="1" w:lastColumn="0" w:noHBand="0" w:noVBand="1"/>
      </w:tblPr>
      <w:tblGrid>
        <w:gridCol w:w="1619"/>
        <w:gridCol w:w="3115"/>
        <w:gridCol w:w="1742"/>
        <w:gridCol w:w="3521"/>
      </w:tblGrid>
      <w:tr w:rsidR="00926220" w:rsidRPr="002779F6" w14:paraId="33DEA593" w14:textId="77777777" w:rsidTr="4C1960FD">
        <w:trPr>
          <w:trHeight w:val="892"/>
        </w:trPr>
        <w:tc>
          <w:tcPr>
            <w:tcW w:w="1619" w:type="dxa"/>
            <w:tcBorders>
              <w:top w:val="single" w:sz="15" w:space="0" w:color="000000" w:themeColor="text1"/>
              <w:left w:val="single" w:sz="15" w:space="0" w:color="000000" w:themeColor="text1"/>
              <w:bottom w:val="single" w:sz="15" w:space="0" w:color="000000" w:themeColor="text1"/>
              <w:right w:val="single" w:sz="8" w:space="0" w:color="000000" w:themeColor="text1"/>
            </w:tcBorders>
          </w:tcPr>
          <w:p w14:paraId="20806FCF" w14:textId="77777777" w:rsidR="00926220" w:rsidRPr="002779F6" w:rsidRDefault="002F0166">
            <w:pPr>
              <w:ind w:left="1"/>
              <w:rPr>
                <w:rFonts w:asciiTheme="minorHAnsi" w:hAnsiTheme="minorHAnsi"/>
              </w:rPr>
            </w:pPr>
            <w:r w:rsidRPr="002779F6">
              <w:rPr>
                <w:rFonts w:asciiTheme="minorHAnsi" w:hAnsiTheme="minorHAnsi"/>
                <w:b/>
              </w:rPr>
              <w:t xml:space="preserve">Uniform </w:t>
            </w:r>
          </w:p>
          <w:p w14:paraId="7A4E2825" w14:textId="77777777" w:rsidR="00926220" w:rsidRPr="002779F6" w:rsidRDefault="002F0166">
            <w:pPr>
              <w:ind w:left="1"/>
              <w:rPr>
                <w:rFonts w:asciiTheme="minorHAnsi" w:hAnsiTheme="minorHAnsi"/>
              </w:rPr>
            </w:pPr>
            <w:r w:rsidRPr="002779F6">
              <w:rPr>
                <w:rFonts w:asciiTheme="minorHAnsi" w:hAnsiTheme="minorHAnsi"/>
                <w:b/>
              </w:rPr>
              <w:t xml:space="preserve">Guidance </w:t>
            </w:r>
          </w:p>
          <w:p w14:paraId="23670C61" w14:textId="77777777" w:rsidR="00926220" w:rsidRPr="002779F6" w:rsidRDefault="002F0166">
            <w:pPr>
              <w:ind w:left="1"/>
              <w:rPr>
                <w:rFonts w:asciiTheme="minorHAnsi" w:hAnsiTheme="minorHAnsi"/>
              </w:rPr>
            </w:pPr>
            <w:r w:rsidRPr="002779F6">
              <w:rPr>
                <w:rFonts w:asciiTheme="minorHAnsi" w:hAnsiTheme="minorHAnsi"/>
                <w:b/>
              </w:rPr>
              <w:t xml:space="preserve">Section </w:t>
            </w:r>
          </w:p>
        </w:tc>
        <w:tc>
          <w:tcPr>
            <w:tcW w:w="3115" w:type="dxa"/>
            <w:tcBorders>
              <w:top w:val="single" w:sz="15" w:space="0" w:color="000000" w:themeColor="text1"/>
              <w:left w:val="single" w:sz="8" w:space="0" w:color="000000" w:themeColor="text1"/>
              <w:bottom w:val="single" w:sz="15" w:space="0" w:color="000000" w:themeColor="text1"/>
              <w:right w:val="single" w:sz="8" w:space="0" w:color="000000" w:themeColor="text1"/>
            </w:tcBorders>
            <w:vAlign w:val="bottom"/>
          </w:tcPr>
          <w:p w14:paraId="43529F4F" w14:textId="77777777" w:rsidR="00926220" w:rsidRPr="002779F6" w:rsidRDefault="002F0166">
            <w:pPr>
              <w:ind w:left="2"/>
              <w:rPr>
                <w:rFonts w:asciiTheme="minorHAnsi" w:hAnsiTheme="minorHAnsi"/>
              </w:rPr>
            </w:pPr>
            <w:r w:rsidRPr="002779F6">
              <w:rPr>
                <w:rFonts w:asciiTheme="minorHAnsi" w:hAnsiTheme="minorHAnsi"/>
                <w:b/>
              </w:rPr>
              <w:t>Uniform Guidance Section Title</w:t>
            </w:r>
          </w:p>
        </w:tc>
        <w:tc>
          <w:tcPr>
            <w:tcW w:w="1742" w:type="dxa"/>
            <w:tcBorders>
              <w:top w:val="single" w:sz="15" w:space="0" w:color="000000" w:themeColor="text1"/>
              <w:left w:val="single" w:sz="8" w:space="0" w:color="000000" w:themeColor="text1"/>
              <w:bottom w:val="single" w:sz="15" w:space="0" w:color="000000" w:themeColor="text1"/>
              <w:right w:val="single" w:sz="8" w:space="0" w:color="000000" w:themeColor="text1"/>
            </w:tcBorders>
            <w:vAlign w:val="bottom"/>
          </w:tcPr>
          <w:p w14:paraId="53B66AC5" w14:textId="2524E97E" w:rsidR="00926220" w:rsidRPr="002779F6" w:rsidRDefault="002F0166">
            <w:pPr>
              <w:ind w:left="2"/>
              <w:rPr>
                <w:rFonts w:asciiTheme="minorHAnsi" w:hAnsiTheme="minorHAnsi"/>
              </w:rPr>
            </w:pPr>
            <w:r w:rsidRPr="002779F6">
              <w:rPr>
                <w:rFonts w:asciiTheme="minorHAnsi" w:hAnsiTheme="minorHAnsi"/>
                <w:b/>
              </w:rPr>
              <w:t xml:space="preserve">Applicable </w:t>
            </w:r>
            <w:r w:rsidR="00D17328">
              <w:rPr>
                <w:rFonts w:asciiTheme="minorHAnsi" w:hAnsiTheme="minorHAnsi"/>
                <w:b/>
              </w:rPr>
              <w:t>GMS</w:t>
            </w:r>
            <w:r w:rsidRPr="002779F6">
              <w:rPr>
                <w:rFonts w:asciiTheme="minorHAnsi" w:hAnsiTheme="minorHAnsi"/>
                <w:b/>
              </w:rPr>
              <w:t xml:space="preserve"> </w:t>
            </w:r>
          </w:p>
          <w:p w14:paraId="182AF5F0" w14:textId="77777777" w:rsidR="00926220" w:rsidRPr="002779F6" w:rsidRDefault="002F0166">
            <w:pPr>
              <w:ind w:left="2"/>
              <w:jc w:val="both"/>
              <w:rPr>
                <w:rFonts w:asciiTheme="minorHAnsi" w:hAnsiTheme="minorHAnsi"/>
              </w:rPr>
            </w:pPr>
            <w:r w:rsidRPr="002779F6">
              <w:rPr>
                <w:rFonts w:asciiTheme="minorHAnsi" w:hAnsiTheme="minorHAnsi"/>
                <w:b/>
              </w:rPr>
              <w:t>Expense Category</w:t>
            </w:r>
          </w:p>
        </w:tc>
        <w:tc>
          <w:tcPr>
            <w:tcW w:w="3521" w:type="dxa"/>
            <w:tcBorders>
              <w:top w:val="single" w:sz="15" w:space="0" w:color="000000" w:themeColor="text1"/>
              <w:left w:val="single" w:sz="8" w:space="0" w:color="000000" w:themeColor="text1"/>
              <w:bottom w:val="single" w:sz="15" w:space="0" w:color="000000" w:themeColor="text1"/>
              <w:right w:val="single" w:sz="15" w:space="0" w:color="000000" w:themeColor="text1"/>
            </w:tcBorders>
            <w:vAlign w:val="bottom"/>
          </w:tcPr>
          <w:p w14:paraId="4329C105" w14:textId="77777777" w:rsidR="00926220" w:rsidRPr="002779F6" w:rsidRDefault="002F0166">
            <w:pPr>
              <w:ind w:left="2"/>
              <w:rPr>
                <w:rFonts w:asciiTheme="minorHAnsi" w:hAnsiTheme="minorHAnsi"/>
              </w:rPr>
            </w:pPr>
            <w:r w:rsidRPr="002779F6">
              <w:rPr>
                <w:rFonts w:asciiTheme="minorHAnsi" w:hAnsiTheme="minorHAnsi"/>
                <w:b/>
              </w:rPr>
              <w:t>Examples</w:t>
            </w:r>
          </w:p>
        </w:tc>
      </w:tr>
      <w:tr w:rsidR="00926220" w:rsidRPr="002779F6" w14:paraId="321141C2" w14:textId="77777777" w:rsidTr="4C1960FD">
        <w:trPr>
          <w:trHeight w:val="2094"/>
        </w:trPr>
        <w:tc>
          <w:tcPr>
            <w:tcW w:w="1619" w:type="dxa"/>
            <w:tcBorders>
              <w:top w:val="single" w:sz="15" w:space="0" w:color="000000" w:themeColor="text1"/>
              <w:left w:val="single" w:sz="15" w:space="0" w:color="000000" w:themeColor="text1"/>
              <w:bottom w:val="single" w:sz="8" w:space="0" w:color="000000" w:themeColor="text1"/>
              <w:right w:val="single" w:sz="8" w:space="0" w:color="000000" w:themeColor="text1"/>
            </w:tcBorders>
            <w:vAlign w:val="bottom"/>
          </w:tcPr>
          <w:p w14:paraId="7F82BA30" w14:textId="77777777" w:rsidR="00926220" w:rsidRPr="002779F6" w:rsidRDefault="002F0166">
            <w:pPr>
              <w:ind w:left="1"/>
              <w:rPr>
                <w:rFonts w:asciiTheme="minorHAnsi" w:hAnsiTheme="minorHAnsi"/>
              </w:rPr>
            </w:pPr>
            <w:r w:rsidRPr="002779F6">
              <w:rPr>
                <w:rFonts w:asciiTheme="minorHAnsi" w:hAnsiTheme="minorHAnsi"/>
              </w:rPr>
              <w:t>200.421</w:t>
            </w:r>
          </w:p>
        </w:tc>
        <w:tc>
          <w:tcPr>
            <w:tcW w:w="3115" w:type="dxa"/>
            <w:tcBorders>
              <w:top w:val="single" w:sz="15" w:space="0" w:color="000000" w:themeColor="text1"/>
              <w:left w:val="single" w:sz="8" w:space="0" w:color="000000" w:themeColor="text1"/>
              <w:bottom w:val="single" w:sz="8" w:space="0" w:color="000000" w:themeColor="text1"/>
              <w:right w:val="single" w:sz="8" w:space="0" w:color="000000" w:themeColor="text1"/>
            </w:tcBorders>
            <w:vAlign w:val="bottom"/>
          </w:tcPr>
          <w:p w14:paraId="552DAFB5" w14:textId="77777777" w:rsidR="00926220" w:rsidRPr="002779F6" w:rsidRDefault="002F0166">
            <w:pPr>
              <w:ind w:left="2"/>
              <w:rPr>
                <w:rFonts w:asciiTheme="minorHAnsi" w:hAnsiTheme="minorHAnsi"/>
              </w:rPr>
            </w:pPr>
            <w:r w:rsidRPr="002779F6">
              <w:rPr>
                <w:rFonts w:asciiTheme="minorHAnsi" w:hAnsiTheme="minorHAnsi"/>
              </w:rPr>
              <w:t>Advertising</w:t>
            </w:r>
          </w:p>
        </w:tc>
        <w:tc>
          <w:tcPr>
            <w:tcW w:w="1742" w:type="dxa"/>
            <w:tcBorders>
              <w:top w:val="single" w:sz="15" w:space="0" w:color="000000" w:themeColor="text1"/>
              <w:left w:val="single" w:sz="8" w:space="0" w:color="000000" w:themeColor="text1"/>
              <w:bottom w:val="single" w:sz="8" w:space="0" w:color="000000" w:themeColor="text1"/>
              <w:right w:val="single" w:sz="8" w:space="0" w:color="000000" w:themeColor="text1"/>
            </w:tcBorders>
            <w:vAlign w:val="bottom"/>
          </w:tcPr>
          <w:p w14:paraId="54BA9EBA" w14:textId="77777777" w:rsidR="00926220" w:rsidRPr="002779F6" w:rsidRDefault="002F0166">
            <w:pPr>
              <w:ind w:left="2"/>
              <w:rPr>
                <w:rFonts w:asciiTheme="minorHAnsi" w:hAnsiTheme="minorHAnsi"/>
              </w:rPr>
            </w:pPr>
            <w:r w:rsidRPr="002779F6">
              <w:rPr>
                <w:rFonts w:asciiTheme="minorHAnsi" w:hAnsiTheme="minorHAnsi"/>
              </w:rPr>
              <w:t>Other</w:t>
            </w:r>
          </w:p>
        </w:tc>
        <w:tc>
          <w:tcPr>
            <w:tcW w:w="3521" w:type="dxa"/>
            <w:tcBorders>
              <w:top w:val="single" w:sz="15" w:space="0" w:color="000000" w:themeColor="text1"/>
              <w:left w:val="single" w:sz="8" w:space="0" w:color="000000" w:themeColor="text1"/>
              <w:bottom w:val="single" w:sz="8" w:space="0" w:color="000000" w:themeColor="text1"/>
              <w:right w:val="single" w:sz="15" w:space="0" w:color="000000" w:themeColor="text1"/>
            </w:tcBorders>
            <w:vAlign w:val="bottom"/>
          </w:tcPr>
          <w:p w14:paraId="16681599" w14:textId="7845CD2F" w:rsidR="00926220" w:rsidRPr="002779F6" w:rsidRDefault="00EC03EF" w:rsidP="6C766943">
            <w:pPr>
              <w:ind w:left="2"/>
              <w:rPr>
                <w:rFonts w:asciiTheme="minorHAnsi" w:hAnsiTheme="minorHAnsi"/>
              </w:rPr>
            </w:pPr>
            <w:r w:rsidRPr="6C766943">
              <w:rPr>
                <w:rFonts w:asciiTheme="minorHAnsi" w:hAnsiTheme="minorHAnsi"/>
              </w:rPr>
              <w:t>R</w:t>
            </w:r>
            <w:r w:rsidR="002F0166" w:rsidRPr="6C766943">
              <w:rPr>
                <w:rFonts w:asciiTheme="minorHAnsi" w:hAnsiTheme="minorHAnsi"/>
              </w:rPr>
              <w:t>unning a</w:t>
            </w:r>
            <w:r w:rsidRPr="6C766943">
              <w:rPr>
                <w:rFonts w:asciiTheme="minorHAnsi" w:hAnsiTheme="minorHAnsi"/>
              </w:rPr>
              <w:t xml:space="preserve"> radio</w:t>
            </w:r>
            <w:r w:rsidR="002F0166" w:rsidRPr="6C766943">
              <w:rPr>
                <w:rFonts w:asciiTheme="minorHAnsi" w:hAnsiTheme="minorHAnsi"/>
              </w:rPr>
              <w:t xml:space="preserve"> ad to </w:t>
            </w:r>
            <w:r w:rsidR="00A10C7A" w:rsidRPr="6C766943">
              <w:rPr>
                <w:rFonts w:asciiTheme="minorHAnsi" w:hAnsiTheme="minorHAnsi"/>
              </w:rPr>
              <w:t>promote EI to the homeless population</w:t>
            </w:r>
            <w:r w:rsidR="00FD69E5">
              <w:rPr>
                <w:rFonts w:asciiTheme="minorHAnsi" w:hAnsiTheme="minorHAnsi"/>
              </w:rPr>
              <w:t xml:space="preserve"> </w:t>
            </w:r>
            <w:r w:rsidR="003255E9">
              <w:rPr>
                <w:rFonts w:asciiTheme="minorHAnsi" w:hAnsiTheme="minorHAnsi"/>
              </w:rPr>
              <w:t xml:space="preserve">as a </w:t>
            </w:r>
            <w:r w:rsidR="00AE1B0E">
              <w:rPr>
                <w:rFonts w:asciiTheme="minorHAnsi" w:hAnsiTheme="minorHAnsi"/>
              </w:rPr>
              <w:t>local oversight improvement activity</w:t>
            </w:r>
            <w:r w:rsidR="003255E9">
              <w:rPr>
                <w:rFonts w:asciiTheme="minorHAnsi" w:hAnsiTheme="minorHAnsi"/>
              </w:rPr>
              <w:t xml:space="preserve"> </w:t>
            </w:r>
          </w:p>
        </w:tc>
      </w:tr>
      <w:tr w:rsidR="00926220" w:rsidRPr="002779F6" w14:paraId="77721543" w14:textId="77777777" w:rsidTr="4C1960FD">
        <w:trPr>
          <w:trHeight w:val="571"/>
        </w:trPr>
        <w:tc>
          <w:tcPr>
            <w:tcW w:w="1619" w:type="dxa"/>
            <w:tcBorders>
              <w:top w:val="single" w:sz="8" w:space="0" w:color="000000" w:themeColor="text1"/>
              <w:left w:val="single" w:sz="15" w:space="0" w:color="000000" w:themeColor="text1"/>
              <w:bottom w:val="single" w:sz="8" w:space="0" w:color="000000" w:themeColor="text1"/>
              <w:right w:val="single" w:sz="8" w:space="0" w:color="000000" w:themeColor="text1"/>
            </w:tcBorders>
            <w:vAlign w:val="bottom"/>
          </w:tcPr>
          <w:p w14:paraId="5B148BA3" w14:textId="77777777" w:rsidR="00926220" w:rsidRPr="002779F6" w:rsidRDefault="002F0166">
            <w:pPr>
              <w:ind w:left="1"/>
              <w:rPr>
                <w:rFonts w:asciiTheme="minorHAnsi" w:hAnsiTheme="minorHAnsi"/>
              </w:rPr>
            </w:pPr>
            <w:r w:rsidRPr="002779F6">
              <w:rPr>
                <w:rFonts w:asciiTheme="minorHAnsi" w:hAnsiTheme="minorHAnsi"/>
              </w:rPr>
              <w:t>200.430</w:t>
            </w:r>
          </w:p>
        </w:tc>
        <w:tc>
          <w:tcPr>
            <w:tcW w:w="31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E3DD617" w14:textId="498459A2" w:rsidR="00926220" w:rsidRPr="002779F6" w:rsidRDefault="002F0166" w:rsidP="7A47057C">
            <w:pPr>
              <w:ind w:left="2"/>
              <w:jc w:val="both"/>
              <w:rPr>
                <w:rFonts w:asciiTheme="minorHAnsi" w:hAnsiTheme="minorHAnsi"/>
              </w:rPr>
            </w:pPr>
            <w:r w:rsidRPr="7A47057C">
              <w:rPr>
                <w:rFonts w:asciiTheme="minorHAnsi" w:hAnsiTheme="minorHAnsi"/>
              </w:rPr>
              <w:t xml:space="preserve">Compensation </w:t>
            </w:r>
            <w:r w:rsidR="77307428" w:rsidRPr="7A47057C">
              <w:rPr>
                <w:rFonts w:asciiTheme="minorHAnsi" w:hAnsiTheme="minorHAnsi"/>
              </w:rPr>
              <w:t>-</w:t>
            </w:r>
            <w:r w:rsidRPr="7A47057C">
              <w:rPr>
                <w:rFonts w:asciiTheme="minorHAnsi" w:hAnsiTheme="minorHAnsi"/>
              </w:rPr>
              <w:t>Personal Services</w:t>
            </w:r>
          </w:p>
        </w:tc>
        <w:tc>
          <w:tcPr>
            <w:tcW w:w="17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54AFD15" w14:textId="77777777" w:rsidR="00926220" w:rsidRPr="002779F6" w:rsidRDefault="002F0166">
            <w:pPr>
              <w:ind w:left="1"/>
              <w:rPr>
                <w:rFonts w:asciiTheme="minorHAnsi" w:hAnsiTheme="minorHAnsi"/>
              </w:rPr>
            </w:pPr>
            <w:r w:rsidRPr="002779F6">
              <w:rPr>
                <w:rFonts w:asciiTheme="minorHAnsi" w:hAnsiTheme="minorHAnsi"/>
              </w:rPr>
              <w:t>Personnel</w:t>
            </w:r>
          </w:p>
        </w:tc>
        <w:tc>
          <w:tcPr>
            <w:tcW w:w="3521" w:type="dxa"/>
            <w:tcBorders>
              <w:top w:val="single" w:sz="8" w:space="0" w:color="000000" w:themeColor="text1"/>
              <w:left w:val="single" w:sz="8" w:space="0" w:color="000000" w:themeColor="text1"/>
              <w:bottom w:val="single" w:sz="8" w:space="0" w:color="000000" w:themeColor="text1"/>
              <w:right w:val="single" w:sz="15" w:space="0" w:color="000000" w:themeColor="text1"/>
            </w:tcBorders>
            <w:vAlign w:val="bottom"/>
          </w:tcPr>
          <w:p w14:paraId="08DBE879" w14:textId="77777777" w:rsidR="00926220" w:rsidRPr="002779F6" w:rsidRDefault="002F0166">
            <w:pPr>
              <w:ind w:left="1"/>
              <w:rPr>
                <w:rFonts w:asciiTheme="minorHAnsi" w:hAnsiTheme="minorHAnsi"/>
              </w:rPr>
            </w:pPr>
            <w:r w:rsidRPr="002779F6">
              <w:rPr>
                <w:rFonts w:asciiTheme="minorHAnsi" w:hAnsiTheme="minorHAnsi"/>
              </w:rPr>
              <w:t>Salary</w:t>
            </w:r>
          </w:p>
        </w:tc>
      </w:tr>
      <w:tr w:rsidR="00926220" w:rsidRPr="002779F6" w14:paraId="0E18F610" w14:textId="77777777" w:rsidTr="4C1960FD">
        <w:trPr>
          <w:trHeight w:val="286"/>
        </w:trPr>
        <w:tc>
          <w:tcPr>
            <w:tcW w:w="1619" w:type="dxa"/>
            <w:tcBorders>
              <w:top w:val="single" w:sz="8" w:space="0" w:color="000000" w:themeColor="text1"/>
              <w:left w:val="single" w:sz="15" w:space="0" w:color="000000" w:themeColor="text1"/>
              <w:bottom w:val="single" w:sz="8" w:space="0" w:color="000000" w:themeColor="text1"/>
              <w:right w:val="single" w:sz="8" w:space="0" w:color="000000" w:themeColor="text1"/>
            </w:tcBorders>
          </w:tcPr>
          <w:p w14:paraId="6EA6AB17" w14:textId="77777777" w:rsidR="00926220" w:rsidRPr="002779F6" w:rsidRDefault="002F0166">
            <w:pPr>
              <w:ind w:left="1"/>
              <w:rPr>
                <w:rFonts w:asciiTheme="minorHAnsi" w:hAnsiTheme="minorHAnsi"/>
              </w:rPr>
            </w:pPr>
            <w:r w:rsidRPr="002779F6">
              <w:rPr>
                <w:rFonts w:asciiTheme="minorHAnsi" w:hAnsiTheme="minorHAnsi"/>
              </w:rPr>
              <w:t>200.431</w:t>
            </w:r>
          </w:p>
        </w:tc>
        <w:tc>
          <w:tcPr>
            <w:tcW w:w="31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FE8606" w14:textId="40169711" w:rsidR="00926220" w:rsidRPr="002779F6" w:rsidRDefault="002F0166" w:rsidP="7A47057C">
            <w:pPr>
              <w:ind w:left="2"/>
              <w:rPr>
                <w:rFonts w:asciiTheme="minorHAnsi" w:hAnsiTheme="minorHAnsi"/>
              </w:rPr>
            </w:pPr>
            <w:r w:rsidRPr="7A47057C">
              <w:rPr>
                <w:rFonts w:asciiTheme="minorHAnsi" w:hAnsiTheme="minorHAnsi"/>
              </w:rPr>
              <w:t>Compensation ‐Fringe Benefits</w:t>
            </w:r>
          </w:p>
        </w:tc>
        <w:tc>
          <w:tcPr>
            <w:tcW w:w="17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68409C" w14:textId="77777777" w:rsidR="00926220" w:rsidRPr="002779F6" w:rsidRDefault="002F0166">
            <w:pPr>
              <w:ind w:left="1"/>
              <w:rPr>
                <w:rFonts w:asciiTheme="minorHAnsi" w:hAnsiTheme="minorHAnsi"/>
              </w:rPr>
            </w:pPr>
            <w:r w:rsidRPr="002779F6">
              <w:rPr>
                <w:rFonts w:asciiTheme="minorHAnsi" w:hAnsiTheme="minorHAnsi"/>
              </w:rPr>
              <w:t>Personnel</w:t>
            </w:r>
          </w:p>
        </w:tc>
        <w:tc>
          <w:tcPr>
            <w:tcW w:w="3521" w:type="dxa"/>
            <w:tcBorders>
              <w:top w:val="single" w:sz="8" w:space="0" w:color="000000" w:themeColor="text1"/>
              <w:left w:val="single" w:sz="8" w:space="0" w:color="000000" w:themeColor="text1"/>
              <w:bottom w:val="single" w:sz="8" w:space="0" w:color="000000" w:themeColor="text1"/>
              <w:right w:val="single" w:sz="15" w:space="0" w:color="000000" w:themeColor="text1"/>
            </w:tcBorders>
          </w:tcPr>
          <w:p w14:paraId="778395DB" w14:textId="77777777" w:rsidR="00926220" w:rsidRPr="002779F6" w:rsidRDefault="002F0166">
            <w:pPr>
              <w:ind w:left="1"/>
              <w:rPr>
                <w:rFonts w:asciiTheme="minorHAnsi" w:hAnsiTheme="minorHAnsi"/>
              </w:rPr>
            </w:pPr>
            <w:r w:rsidRPr="002779F6">
              <w:rPr>
                <w:rFonts w:asciiTheme="minorHAnsi" w:hAnsiTheme="minorHAnsi"/>
              </w:rPr>
              <w:t>Health Insurance</w:t>
            </w:r>
          </w:p>
        </w:tc>
      </w:tr>
      <w:tr w:rsidR="00926220" w:rsidRPr="002779F6" w14:paraId="15071292" w14:textId="77777777" w:rsidTr="4C1960FD">
        <w:trPr>
          <w:trHeight w:val="571"/>
        </w:trPr>
        <w:tc>
          <w:tcPr>
            <w:tcW w:w="1619" w:type="dxa"/>
            <w:tcBorders>
              <w:top w:val="single" w:sz="8" w:space="0" w:color="000000" w:themeColor="text1"/>
              <w:left w:val="single" w:sz="15" w:space="0" w:color="000000" w:themeColor="text1"/>
              <w:bottom w:val="single" w:sz="8" w:space="0" w:color="000000" w:themeColor="text1"/>
              <w:right w:val="single" w:sz="8" w:space="0" w:color="000000" w:themeColor="text1"/>
            </w:tcBorders>
            <w:vAlign w:val="bottom"/>
          </w:tcPr>
          <w:p w14:paraId="6EA46EE5" w14:textId="77777777" w:rsidR="00926220" w:rsidRPr="002779F6" w:rsidRDefault="002F0166">
            <w:pPr>
              <w:ind w:left="1"/>
              <w:rPr>
                <w:rFonts w:asciiTheme="minorHAnsi" w:hAnsiTheme="minorHAnsi"/>
              </w:rPr>
            </w:pPr>
            <w:r w:rsidRPr="002779F6">
              <w:rPr>
                <w:rFonts w:asciiTheme="minorHAnsi" w:hAnsiTheme="minorHAnsi"/>
              </w:rPr>
              <w:t>200.432</w:t>
            </w:r>
          </w:p>
        </w:tc>
        <w:tc>
          <w:tcPr>
            <w:tcW w:w="31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53F320A" w14:textId="77777777" w:rsidR="00926220" w:rsidRPr="002779F6" w:rsidRDefault="002F0166">
            <w:pPr>
              <w:ind w:left="2"/>
              <w:rPr>
                <w:rFonts w:asciiTheme="minorHAnsi" w:hAnsiTheme="minorHAnsi"/>
              </w:rPr>
            </w:pPr>
            <w:r w:rsidRPr="002779F6">
              <w:rPr>
                <w:rFonts w:asciiTheme="minorHAnsi" w:hAnsiTheme="minorHAnsi"/>
              </w:rPr>
              <w:t>Conferences</w:t>
            </w:r>
          </w:p>
        </w:tc>
        <w:tc>
          <w:tcPr>
            <w:tcW w:w="17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46F845F" w14:textId="77777777" w:rsidR="00926220" w:rsidRPr="002779F6" w:rsidRDefault="002F0166">
            <w:pPr>
              <w:ind w:left="2"/>
              <w:rPr>
                <w:rFonts w:asciiTheme="minorHAnsi" w:hAnsiTheme="minorHAnsi"/>
              </w:rPr>
            </w:pPr>
            <w:r w:rsidRPr="002779F6">
              <w:rPr>
                <w:rFonts w:asciiTheme="minorHAnsi" w:hAnsiTheme="minorHAnsi"/>
              </w:rPr>
              <w:t xml:space="preserve">Other </w:t>
            </w:r>
          </w:p>
        </w:tc>
        <w:tc>
          <w:tcPr>
            <w:tcW w:w="3521" w:type="dxa"/>
            <w:tcBorders>
              <w:top w:val="single" w:sz="8" w:space="0" w:color="000000" w:themeColor="text1"/>
              <w:left w:val="single" w:sz="8" w:space="0" w:color="000000" w:themeColor="text1"/>
              <w:bottom w:val="single" w:sz="8" w:space="0" w:color="000000" w:themeColor="text1"/>
              <w:right w:val="single" w:sz="15" w:space="0" w:color="000000" w:themeColor="text1"/>
            </w:tcBorders>
          </w:tcPr>
          <w:p w14:paraId="55360913" w14:textId="652178B3" w:rsidR="00926220" w:rsidRPr="002779F6" w:rsidRDefault="002F0166" w:rsidP="4C1960FD">
            <w:pPr>
              <w:ind w:left="2"/>
              <w:rPr>
                <w:rFonts w:asciiTheme="minorHAnsi" w:hAnsiTheme="minorHAnsi"/>
              </w:rPr>
            </w:pPr>
            <w:r w:rsidRPr="4C1960FD">
              <w:rPr>
                <w:rFonts w:asciiTheme="minorHAnsi" w:hAnsiTheme="minorHAnsi"/>
              </w:rPr>
              <w:t xml:space="preserve">Conference fees for </w:t>
            </w:r>
            <w:r w:rsidR="00840EEB">
              <w:rPr>
                <w:rFonts w:asciiTheme="minorHAnsi" w:hAnsiTheme="minorHAnsi"/>
              </w:rPr>
              <w:t xml:space="preserve">attending a </w:t>
            </w:r>
            <w:r w:rsidR="00BD0D06">
              <w:rPr>
                <w:rFonts w:asciiTheme="minorHAnsi" w:hAnsiTheme="minorHAnsi"/>
              </w:rPr>
              <w:t>conference related to one of the three EI ARPA priority areas</w:t>
            </w:r>
          </w:p>
        </w:tc>
      </w:tr>
      <w:tr w:rsidR="00926220" w:rsidRPr="002779F6" w14:paraId="52E46868" w14:textId="77777777" w:rsidTr="4C1960FD">
        <w:trPr>
          <w:trHeight w:val="286"/>
        </w:trPr>
        <w:tc>
          <w:tcPr>
            <w:tcW w:w="1619" w:type="dxa"/>
            <w:tcBorders>
              <w:top w:val="single" w:sz="8" w:space="0" w:color="000000" w:themeColor="text1"/>
              <w:left w:val="single" w:sz="15" w:space="0" w:color="000000" w:themeColor="text1"/>
              <w:bottom w:val="single" w:sz="8" w:space="0" w:color="000000" w:themeColor="text1"/>
              <w:right w:val="single" w:sz="8" w:space="0" w:color="000000" w:themeColor="text1"/>
            </w:tcBorders>
          </w:tcPr>
          <w:p w14:paraId="4B601765" w14:textId="77777777" w:rsidR="00926220" w:rsidRPr="002779F6" w:rsidRDefault="002F0166">
            <w:pPr>
              <w:ind w:left="1"/>
              <w:rPr>
                <w:rFonts w:asciiTheme="minorHAnsi" w:hAnsiTheme="minorHAnsi"/>
              </w:rPr>
            </w:pPr>
            <w:r w:rsidRPr="002779F6">
              <w:rPr>
                <w:rFonts w:asciiTheme="minorHAnsi" w:hAnsiTheme="minorHAnsi"/>
              </w:rPr>
              <w:t>200.439</w:t>
            </w:r>
          </w:p>
        </w:tc>
        <w:tc>
          <w:tcPr>
            <w:tcW w:w="31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6E6BE9" w14:textId="77777777" w:rsidR="00926220" w:rsidRPr="002779F6" w:rsidRDefault="002F0166">
            <w:pPr>
              <w:ind w:left="2"/>
              <w:rPr>
                <w:rFonts w:asciiTheme="minorHAnsi" w:hAnsiTheme="minorHAnsi"/>
              </w:rPr>
            </w:pPr>
            <w:r w:rsidRPr="002779F6">
              <w:rPr>
                <w:rFonts w:asciiTheme="minorHAnsi" w:hAnsiTheme="minorHAnsi"/>
              </w:rPr>
              <w:t>Equipment</w:t>
            </w:r>
          </w:p>
        </w:tc>
        <w:tc>
          <w:tcPr>
            <w:tcW w:w="17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2EAAE6" w14:textId="77777777" w:rsidR="00926220" w:rsidRPr="002779F6" w:rsidRDefault="002F0166">
            <w:pPr>
              <w:ind w:left="1"/>
              <w:rPr>
                <w:rFonts w:asciiTheme="minorHAnsi" w:hAnsiTheme="minorHAnsi"/>
              </w:rPr>
            </w:pPr>
            <w:r w:rsidRPr="002779F6">
              <w:rPr>
                <w:rFonts w:asciiTheme="minorHAnsi" w:hAnsiTheme="minorHAnsi"/>
              </w:rPr>
              <w:t>Equipment</w:t>
            </w:r>
          </w:p>
        </w:tc>
        <w:tc>
          <w:tcPr>
            <w:tcW w:w="3521" w:type="dxa"/>
            <w:tcBorders>
              <w:top w:val="single" w:sz="8" w:space="0" w:color="000000" w:themeColor="text1"/>
              <w:left w:val="single" w:sz="8" w:space="0" w:color="000000" w:themeColor="text1"/>
              <w:bottom w:val="single" w:sz="8" w:space="0" w:color="000000" w:themeColor="text1"/>
              <w:right w:val="single" w:sz="15" w:space="0" w:color="000000" w:themeColor="text1"/>
            </w:tcBorders>
          </w:tcPr>
          <w:p w14:paraId="045F30EB" w14:textId="77777777" w:rsidR="00926220" w:rsidRPr="002779F6" w:rsidRDefault="002F0166">
            <w:pPr>
              <w:ind w:left="1"/>
              <w:rPr>
                <w:rFonts w:asciiTheme="minorHAnsi" w:hAnsiTheme="minorHAnsi"/>
              </w:rPr>
            </w:pPr>
            <w:r w:rsidRPr="002779F6">
              <w:rPr>
                <w:rFonts w:asciiTheme="minorHAnsi" w:hAnsiTheme="minorHAnsi"/>
              </w:rPr>
              <w:t>Surface Pro with unit cost &gt;$1000</w:t>
            </w:r>
          </w:p>
        </w:tc>
      </w:tr>
      <w:tr w:rsidR="00926220" w:rsidRPr="002779F6" w14:paraId="564999D6" w14:textId="77777777" w:rsidTr="4C1960FD">
        <w:trPr>
          <w:trHeight w:val="286"/>
        </w:trPr>
        <w:tc>
          <w:tcPr>
            <w:tcW w:w="1619" w:type="dxa"/>
            <w:tcBorders>
              <w:top w:val="single" w:sz="8" w:space="0" w:color="000000" w:themeColor="text1"/>
              <w:left w:val="single" w:sz="15" w:space="0" w:color="000000" w:themeColor="text1"/>
              <w:bottom w:val="single" w:sz="8" w:space="0" w:color="000000" w:themeColor="text1"/>
              <w:right w:val="single" w:sz="8" w:space="0" w:color="000000" w:themeColor="text1"/>
            </w:tcBorders>
          </w:tcPr>
          <w:p w14:paraId="1F865119" w14:textId="77777777" w:rsidR="00926220" w:rsidRPr="002779F6" w:rsidRDefault="002F0166">
            <w:pPr>
              <w:ind w:left="1"/>
              <w:rPr>
                <w:rFonts w:asciiTheme="minorHAnsi" w:hAnsiTheme="minorHAnsi"/>
              </w:rPr>
            </w:pPr>
            <w:r w:rsidRPr="002779F6">
              <w:rPr>
                <w:rFonts w:asciiTheme="minorHAnsi" w:hAnsiTheme="minorHAnsi"/>
              </w:rPr>
              <w:t>200.452</w:t>
            </w:r>
          </w:p>
        </w:tc>
        <w:tc>
          <w:tcPr>
            <w:tcW w:w="31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E1F476" w14:textId="77777777" w:rsidR="00926220" w:rsidRPr="002779F6" w:rsidRDefault="002F0166">
            <w:pPr>
              <w:ind w:left="2"/>
              <w:rPr>
                <w:rFonts w:asciiTheme="minorHAnsi" w:hAnsiTheme="minorHAnsi"/>
              </w:rPr>
            </w:pPr>
            <w:r w:rsidRPr="002779F6">
              <w:rPr>
                <w:rFonts w:asciiTheme="minorHAnsi" w:hAnsiTheme="minorHAnsi"/>
              </w:rPr>
              <w:t>Maintenance and repair costs</w:t>
            </w:r>
          </w:p>
        </w:tc>
        <w:tc>
          <w:tcPr>
            <w:tcW w:w="17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6C3E8A" w14:textId="77777777" w:rsidR="00926220" w:rsidRPr="002779F6" w:rsidRDefault="002F0166">
            <w:pPr>
              <w:ind w:left="1"/>
              <w:rPr>
                <w:rFonts w:asciiTheme="minorHAnsi" w:hAnsiTheme="minorHAnsi"/>
              </w:rPr>
            </w:pPr>
            <w:r w:rsidRPr="002779F6">
              <w:rPr>
                <w:rFonts w:asciiTheme="minorHAnsi" w:hAnsiTheme="minorHAnsi"/>
              </w:rPr>
              <w:t>Other</w:t>
            </w:r>
          </w:p>
        </w:tc>
        <w:tc>
          <w:tcPr>
            <w:tcW w:w="3521" w:type="dxa"/>
            <w:tcBorders>
              <w:top w:val="single" w:sz="8" w:space="0" w:color="000000" w:themeColor="text1"/>
              <w:left w:val="single" w:sz="8" w:space="0" w:color="000000" w:themeColor="text1"/>
              <w:bottom w:val="single" w:sz="8" w:space="0" w:color="000000" w:themeColor="text1"/>
              <w:right w:val="single" w:sz="15" w:space="0" w:color="000000" w:themeColor="text1"/>
            </w:tcBorders>
          </w:tcPr>
          <w:p w14:paraId="7CA80EB8" w14:textId="7FBE5284" w:rsidR="00926220" w:rsidRPr="002779F6" w:rsidRDefault="002F0166">
            <w:pPr>
              <w:ind w:left="1"/>
              <w:rPr>
                <w:rFonts w:asciiTheme="minorHAnsi" w:hAnsiTheme="minorHAnsi"/>
              </w:rPr>
            </w:pPr>
            <w:r w:rsidRPr="002779F6">
              <w:rPr>
                <w:rFonts w:asciiTheme="minorHAnsi" w:hAnsiTheme="minorHAnsi"/>
              </w:rPr>
              <w:t>Repairs to a</w:t>
            </w:r>
            <w:r w:rsidR="002E1B47">
              <w:rPr>
                <w:rFonts w:asciiTheme="minorHAnsi" w:hAnsiTheme="minorHAnsi"/>
              </w:rPr>
              <w:t>n ARPA</w:t>
            </w:r>
            <w:r w:rsidRPr="002779F6">
              <w:rPr>
                <w:rFonts w:asciiTheme="minorHAnsi" w:hAnsiTheme="minorHAnsi"/>
              </w:rPr>
              <w:t xml:space="preserve"> grant funded Surface Pro</w:t>
            </w:r>
          </w:p>
        </w:tc>
      </w:tr>
      <w:tr w:rsidR="00926220" w:rsidRPr="002779F6" w14:paraId="4081FC03" w14:textId="77777777" w:rsidTr="4C1960FD">
        <w:trPr>
          <w:trHeight w:val="1428"/>
        </w:trPr>
        <w:tc>
          <w:tcPr>
            <w:tcW w:w="1619" w:type="dxa"/>
            <w:tcBorders>
              <w:top w:val="single" w:sz="8" w:space="0" w:color="000000" w:themeColor="text1"/>
              <w:left w:val="single" w:sz="15" w:space="0" w:color="000000" w:themeColor="text1"/>
              <w:bottom w:val="single" w:sz="8" w:space="0" w:color="000000" w:themeColor="text1"/>
              <w:right w:val="single" w:sz="8" w:space="0" w:color="000000" w:themeColor="text1"/>
            </w:tcBorders>
            <w:vAlign w:val="bottom"/>
          </w:tcPr>
          <w:p w14:paraId="609F7D48" w14:textId="77777777" w:rsidR="00926220" w:rsidRPr="002779F6" w:rsidRDefault="0D7B5237" w:rsidP="13419010">
            <w:pPr>
              <w:spacing w:line="259" w:lineRule="auto"/>
              <w:ind w:left="1"/>
              <w:rPr>
                <w:rFonts w:asciiTheme="minorHAnsi" w:hAnsiTheme="minorHAnsi"/>
              </w:rPr>
            </w:pPr>
            <w:r w:rsidRPr="13419010">
              <w:rPr>
                <w:rFonts w:asciiTheme="minorHAnsi" w:hAnsiTheme="minorHAnsi"/>
              </w:rPr>
              <w:lastRenderedPageBreak/>
              <w:t>200.453</w:t>
            </w:r>
          </w:p>
        </w:tc>
        <w:tc>
          <w:tcPr>
            <w:tcW w:w="31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1962B7D" w14:textId="77777777" w:rsidR="00926220" w:rsidRPr="002779F6" w:rsidRDefault="002F0166" w:rsidP="1FAC8B10">
            <w:pPr>
              <w:spacing w:line="259" w:lineRule="auto"/>
              <w:ind w:left="2"/>
              <w:rPr>
                <w:rFonts w:asciiTheme="minorHAnsi" w:hAnsiTheme="minorHAnsi"/>
              </w:rPr>
            </w:pPr>
            <w:r w:rsidRPr="1FAC8B10">
              <w:rPr>
                <w:rFonts w:asciiTheme="minorHAnsi" w:hAnsiTheme="minorHAnsi"/>
              </w:rPr>
              <w:t>Materials and supplies costs, including costs of computing devices</w:t>
            </w:r>
          </w:p>
        </w:tc>
        <w:tc>
          <w:tcPr>
            <w:tcW w:w="17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0C3371B" w14:textId="58DCCD60" w:rsidR="00926220" w:rsidRPr="002779F6" w:rsidRDefault="0D7B5237" w:rsidP="13419010">
            <w:pPr>
              <w:spacing w:line="259" w:lineRule="auto"/>
              <w:ind w:left="1"/>
              <w:rPr>
                <w:rFonts w:asciiTheme="minorHAnsi" w:hAnsiTheme="minorHAnsi"/>
              </w:rPr>
            </w:pPr>
            <w:r w:rsidRPr="13419010">
              <w:rPr>
                <w:rFonts w:asciiTheme="minorHAnsi" w:hAnsiTheme="minorHAnsi"/>
              </w:rPr>
              <w:t>Supplies</w:t>
            </w:r>
          </w:p>
        </w:tc>
        <w:tc>
          <w:tcPr>
            <w:tcW w:w="3521" w:type="dxa"/>
            <w:tcBorders>
              <w:top w:val="single" w:sz="8" w:space="0" w:color="000000" w:themeColor="text1"/>
              <w:left w:val="single" w:sz="8" w:space="0" w:color="000000" w:themeColor="text1"/>
              <w:bottom w:val="single" w:sz="8" w:space="0" w:color="000000" w:themeColor="text1"/>
              <w:right w:val="single" w:sz="15" w:space="0" w:color="000000" w:themeColor="text1"/>
            </w:tcBorders>
            <w:vAlign w:val="bottom"/>
          </w:tcPr>
          <w:p w14:paraId="15B7A001" w14:textId="3504AE67" w:rsidR="00926220" w:rsidRPr="002779F6" w:rsidRDefault="0D7B5237" w:rsidP="13419010">
            <w:pPr>
              <w:spacing w:line="259" w:lineRule="auto"/>
              <w:ind w:left="1"/>
              <w:rPr>
                <w:rFonts w:asciiTheme="minorHAnsi" w:hAnsiTheme="minorHAnsi"/>
              </w:rPr>
            </w:pPr>
            <w:r w:rsidRPr="13419010">
              <w:rPr>
                <w:rFonts w:asciiTheme="minorHAnsi" w:hAnsiTheme="minorHAnsi"/>
              </w:rPr>
              <w:t xml:space="preserve">Paper, booklets, iPads, </w:t>
            </w:r>
            <w:r w:rsidR="53E160E4" w:rsidRPr="13419010">
              <w:rPr>
                <w:rFonts w:asciiTheme="minorHAnsi" w:hAnsiTheme="minorHAnsi"/>
              </w:rPr>
              <w:t xml:space="preserve">laptops, </w:t>
            </w:r>
            <w:r w:rsidRPr="13419010">
              <w:rPr>
                <w:rFonts w:asciiTheme="minorHAnsi" w:hAnsiTheme="minorHAnsi"/>
              </w:rPr>
              <w:t>where per unit cost is &lt;$1000</w:t>
            </w:r>
          </w:p>
        </w:tc>
      </w:tr>
      <w:tr w:rsidR="00926220" w:rsidRPr="002779F6" w14:paraId="1BF99BD1" w14:textId="77777777" w:rsidTr="4C1960FD">
        <w:trPr>
          <w:trHeight w:val="857"/>
        </w:trPr>
        <w:tc>
          <w:tcPr>
            <w:tcW w:w="1619" w:type="dxa"/>
            <w:tcBorders>
              <w:top w:val="single" w:sz="8" w:space="0" w:color="000000" w:themeColor="text1"/>
              <w:left w:val="single" w:sz="15" w:space="0" w:color="000000" w:themeColor="text1"/>
              <w:bottom w:val="single" w:sz="8" w:space="0" w:color="000000" w:themeColor="text1"/>
              <w:right w:val="single" w:sz="8" w:space="0" w:color="000000" w:themeColor="text1"/>
            </w:tcBorders>
            <w:vAlign w:val="bottom"/>
          </w:tcPr>
          <w:p w14:paraId="55ADDB07" w14:textId="77777777" w:rsidR="00926220" w:rsidRPr="002779F6" w:rsidRDefault="002F0166">
            <w:pPr>
              <w:ind w:left="1"/>
              <w:rPr>
                <w:rFonts w:asciiTheme="minorHAnsi" w:hAnsiTheme="minorHAnsi"/>
              </w:rPr>
            </w:pPr>
            <w:r w:rsidRPr="002779F6">
              <w:rPr>
                <w:rFonts w:asciiTheme="minorHAnsi" w:hAnsiTheme="minorHAnsi"/>
              </w:rPr>
              <w:t>200.454</w:t>
            </w:r>
          </w:p>
        </w:tc>
        <w:tc>
          <w:tcPr>
            <w:tcW w:w="31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9B87084" w14:textId="77777777" w:rsidR="00926220" w:rsidRPr="002779F6" w:rsidRDefault="002F0166">
            <w:pPr>
              <w:ind w:left="1"/>
              <w:rPr>
                <w:rFonts w:asciiTheme="minorHAnsi" w:hAnsiTheme="minorHAnsi"/>
              </w:rPr>
            </w:pPr>
            <w:r w:rsidRPr="002779F6">
              <w:rPr>
                <w:rFonts w:asciiTheme="minorHAnsi" w:hAnsiTheme="minorHAnsi"/>
              </w:rPr>
              <w:t>Memberships, subscriptions and professional activity costs</w:t>
            </w:r>
          </w:p>
        </w:tc>
        <w:tc>
          <w:tcPr>
            <w:tcW w:w="17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3C12AAF" w14:textId="77777777" w:rsidR="00926220" w:rsidRPr="002779F6" w:rsidRDefault="002F0166">
            <w:pPr>
              <w:ind w:left="1"/>
              <w:rPr>
                <w:rFonts w:asciiTheme="minorHAnsi" w:hAnsiTheme="minorHAnsi"/>
              </w:rPr>
            </w:pPr>
            <w:r w:rsidRPr="002779F6">
              <w:rPr>
                <w:rFonts w:asciiTheme="minorHAnsi" w:hAnsiTheme="minorHAnsi"/>
              </w:rPr>
              <w:t>Other</w:t>
            </w:r>
          </w:p>
        </w:tc>
        <w:tc>
          <w:tcPr>
            <w:tcW w:w="3521" w:type="dxa"/>
            <w:tcBorders>
              <w:top w:val="single" w:sz="8" w:space="0" w:color="000000" w:themeColor="text1"/>
              <w:left w:val="single" w:sz="8" w:space="0" w:color="000000" w:themeColor="text1"/>
              <w:bottom w:val="single" w:sz="8" w:space="0" w:color="000000" w:themeColor="text1"/>
              <w:right w:val="single" w:sz="15" w:space="0" w:color="000000" w:themeColor="text1"/>
            </w:tcBorders>
          </w:tcPr>
          <w:p w14:paraId="248F2DEE" w14:textId="77777777" w:rsidR="00926220" w:rsidRPr="002779F6" w:rsidRDefault="002F0166">
            <w:pPr>
              <w:ind w:left="2"/>
              <w:rPr>
                <w:rFonts w:asciiTheme="minorHAnsi" w:hAnsiTheme="minorHAnsi"/>
              </w:rPr>
            </w:pPr>
            <w:r w:rsidRPr="002779F6">
              <w:rPr>
                <w:rFonts w:asciiTheme="minorHAnsi" w:hAnsiTheme="minorHAnsi"/>
              </w:rPr>
              <w:t xml:space="preserve">Professional certifications such as </w:t>
            </w:r>
          </w:p>
          <w:p w14:paraId="23E1B956" w14:textId="77777777" w:rsidR="00926220" w:rsidRPr="002779F6" w:rsidRDefault="002F0166">
            <w:pPr>
              <w:ind w:left="2"/>
              <w:rPr>
                <w:rFonts w:asciiTheme="minorHAnsi" w:hAnsiTheme="minorHAnsi"/>
              </w:rPr>
            </w:pPr>
            <w:r w:rsidRPr="002779F6">
              <w:rPr>
                <w:rFonts w:asciiTheme="minorHAnsi" w:hAnsiTheme="minorHAnsi"/>
              </w:rPr>
              <w:t xml:space="preserve">Division of Early Childhood, Infant &amp; </w:t>
            </w:r>
          </w:p>
          <w:p w14:paraId="258FE2B9" w14:textId="69D779A9" w:rsidR="00926220" w:rsidRPr="002779F6" w:rsidRDefault="002F0166" w:rsidP="1FAC8B10">
            <w:pPr>
              <w:rPr>
                <w:rFonts w:asciiTheme="minorHAnsi" w:hAnsiTheme="minorHAnsi"/>
              </w:rPr>
            </w:pPr>
            <w:r w:rsidRPr="1FAC8B10">
              <w:rPr>
                <w:rFonts w:asciiTheme="minorHAnsi" w:hAnsiTheme="minorHAnsi"/>
              </w:rPr>
              <w:t>Child Journals</w:t>
            </w:r>
            <w:r w:rsidR="4DAB5B22" w:rsidRPr="1FAC8B10">
              <w:rPr>
                <w:rFonts w:asciiTheme="minorHAnsi" w:hAnsiTheme="minorHAnsi"/>
              </w:rPr>
              <w:t xml:space="preserve">, </w:t>
            </w:r>
            <w:r w:rsidR="1FAC8B10" w:rsidRPr="1FAC8B10">
              <w:rPr>
                <w:rFonts w:asciiTheme="minorHAnsi" w:hAnsiTheme="minorHAnsi"/>
              </w:rPr>
              <w:t>Battelle and Bayley</w:t>
            </w:r>
            <w:r w:rsidR="6DCC26E1" w:rsidRPr="1FAC8B10">
              <w:rPr>
                <w:rFonts w:asciiTheme="minorHAnsi" w:hAnsiTheme="minorHAnsi"/>
              </w:rPr>
              <w:t xml:space="preserve"> subscriptions</w:t>
            </w:r>
          </w:p>
        </w:tc>
      </w:tr>
      <w:tr w:rsidR="00926220" w:rsidRPr="002779F6" w14:paraId="704BB158" w14:textId="77777777" w:rsidTr="4C1960FD">
        <w:trPr>
          <w:trHeight w:val="571"/>
        </w:trPr>
        <w:tc>
          <w:tcPr>
            <w:tcW w:w="1619" w:type="dxa"/>
            <w:tcBorders>
              <w:top w:val="single" w:sz="8" w:space="0" w:color="000000" w:themeColor="text1"/>
              <w:left w:val="single" w:sz="15" w:space="0" w:color="000000" w:themeColor="text1"/>
              <w:bottom w:val="single" w:sz="8" w:space="0" w:color="000000" w:themeColor="text1"/>
              <w:right w:val="single" w:sz="8" w:space="0" w:color="000000" w:themeColor="text1"/>
            </w:tcBorders>
            <w:vAlign w:val="bottom"/>
          </w:tcPr>
          <w:p w14:paraId="26660AE5" w14:textId="77777777" w:rsidR="00926220" w:rsidRPr="002779F6" w:rsidRDefault="002F0166">
            <w:pPr>
              <w:ind w:left="1"/>
              <w:rPr>
                <w:rFonts w:asciiTheme="minorHAnsi" w:hAnsiTheme="minorHAnsi"/>
              </w:rPr>
            </w:pPr>
            <w:r w:rsidRPr="002779F6">
              <w:rPr>
                <w:rFonts w:asciiTheme="minorHAnsi" w:hAnsiTheme="minorHAnsi"/>
              </w:rPr>
              <w:t>200.459</w:t>
            </w:r>
          </w:p>
        </w:tc>
        <w:tc>
          <w:tcPr>
            <w:tcW w:w="31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3BCB714" w14:textId="77777777" w:rsidR="00926220" w:rsidRPr="002779F6" w:rsidRDefault="002F0166">
            <w:pPr>
              <w:ind w:left="2"/>
              <w:rPr>
                <w:rFonts w:asciiTheme="minorHAnsi" w:hAnsiTheme="minorHAnsi"/>
              </w:rPr>
            </w:pPr>
            <w:r w:rsidRPr="002779F6">
              <w:rPr>
                <w:rFonts w:asciiTheme="minorHAnsi" w:hAnsiTheme="minorHAnsi"/>
              </w:rPr>
              <w:t>Professional Service Costs</w:t>
            </w:r>
          </w:p>
        </w:tc>
        <w:tc>
          <w:tcPr>
            <w:tcW w:w="17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9C84378" w14:textId="77777777" w:rsidR="00926220" w:rsidRPr="002779F6" w:rsidRDefault="002F0166">
            <w:pPr>
              <w:ind w:left="1"/>
              <w:rPr>
                <w:rFonts w:asciiTheme="minorHAnsi" w:hAnsiTheme="minorHAnsi"/>
              </w:rPr>
            </w:pPr>
            <w:r w:rsidRPr="002779F6">
              <w:rPr>
                <w:rFonts w:asciiTheme="minorHAnsi" w:hAnsiTheme="minorHAnsi"/>
              </w:rPr>
              <w:t>Contracts</w:t>
            </w:r>
          </w:p>
        </w:tc>
        <w:tc>
          <w:tcPr>
            <w:tcW w:w="3521" w:type="dxa"/>
            <w:tcBorders>
              <w:top w:val="single" w:sz="8" w:space="0" w:color="000000" w:themeColor="text1"/>
              <w:left w:val="single" w:sz="8" w:space="0" w:color="000000" w:themeColor="text1"/>
              <w:bottom w:val="single" w:sz="8" w:space="0" w:color="000000" w:themeColor="text1"/>
              <w:right w:val="single" w:sz="15" w:space="0" w:color="000000" w:themeColor="text1"/>
            </w:tcBorders>
          </w:tcPr>
          <w:p w14:paraId="42D13E31" w14:textId="682BD8A4" w:rsidR="00926220" w:rsidRPr="002779F6" w:rsidRDefault="00F95AE3">
            <w:pPr>
              <w:ind w:left="2"/>
              <w:rPr>
                <w:rFonts w:asciiTheme="minorHAnsi" w:hAnsiTheme="minorHAnsi"/>
              </w:rPr>
            </w:pPr>
            <w:r>
              <w:rPr>
                <w:rFonts w:asciiTheme="minorHAnsi" w:hAnsiTheme="minorHAnsi"/>
              </w:rPr>
              <w:t xml:space="preserve"> </w:t>
            </w:r>
            <w:r>
              <w:t xml:space="preserve">Contracting with a </w:t>
            </w:r>
            <w:r w:rsidRPr="003A1056">
              <w:t>consultant to help strategize ways to engage the homeless population</w:t>
            </w:r>
          </w:p>
        </w:tc>
      </w:tr>
      <w:tr w:rsidR="00926220" w:rsidRPr="002779F6" w14:paraId="28D9D3D7" w14:textId="77777777" w:rsidTr="4C1960FD">
        <w:trPr>
          <w:trHeight w:val="286"/>
        </w:trPr>
        <w:tc>
          <w:tcPr>
            <w:tcW w:w="1619" w:type="dxa"/>
            <w:tcBorders>
              <w:top w:val="single" w:sz="8" w:space="0" w:color="000000" w:themeColor="text1"/>
              <w:left w:val="single" w:sz="15" w:space="0" w:color="000000" w:themeColor="text1"/>
              <w:bottom w:val="single" w:sz="8" w:space="0" w:color="000000" w:themeColor="text1"/>
              <w:right w:val="single" w:sz="8" w:space="0" w:color="000000" w:themeColor="text1"/>
            </w:tcBorders>
          </w:tcPr>
          <w:p w14:paraId="22DF6B1E" w14:textId="77777777" w:rsidR="00926220" w:rsidRPr="002779F6" w:rsidRDefault="002F0166">
            <w:pPr>
              <w:ind w:left="1"/>
              <w:rPr>
                <w:rFonts w:asciiTheme="minorHAnsi" w:hAnsiTheme="minorHAnsi"/>
              </w:rPr>
            </w:pPr>
            <w:r w:rsidRPr="002779F6">
              <w:rPr>
                <w:rFonts w:asciiTheme="minorHAnsi" w:hAnsiTheme="minorHAnsi"/>
              </w:rPr>
              <w:t>200.461</w:t>
            </w:r>
          </w:p>
        </w:tc>
        <w:tc>
          <w:tcPr>
            <w:tcW w:w="31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1D11F9" w14:textId="77777777" w:rsidR="00926220" w:rsidRPr="002779F6" w:rsidRDefault="002F0166">
            <w:pPr>
              <w:ind w:left="2"/>
              <w:rPr>
                <w:rFonts w:asciiTheme="minorHAnsi" w:hAnsiTheme="minorHAnsi"/>
              </w:rPr>
            </w:pPr>
            <w:r w:rsidRPr="002779F6">
              <w:rPr>
                <w:rFonts w:asciiTheme="minorHAnsi" w:hAnsiTheme="minorHAnsi"/>
              </w:rPr>
              <w:t>Publication and printing costs</w:t>
            </w:r>
          </w:p>
        </w:tc>
        <w:tc>
          <w:tcPr>
            <w:tcW w:w="17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476084" w14:textId="77777777" w:rsidR="00926220" w:rsidRPr="002779F6" w:rsidRDefault="002F0166">
            <w:pPr>
              <w:rPr>
                <w:rFonts w:asciiTheme="minorHAnsi" w:hAnsiTheme="minorHAnsi"/>
              </w:rPr>
            </w:pPr>
            <w:r w:rsidRPr="002779F6">
              <w:rPr>
                <w:rFonts w:asciiTheme="minorHAnsi" w:hAnsiTheme="minorHAnsi"/>
              </w:rPr>
              <w:t>Supplies</w:t>
            </w:r>
          </w:p>
        </w:tc>
        <w:tc>
          <w:tcPr>
            <w:tcW w:w="3521" w:type="dxa"/>
            <w:tcBorders>
              <w:top w:val="single" w:sz="8" w:space="0" w:color="000000" w:themeColor="text1"/>
              <w:left w:val="single" w:sz="8" w:space="0" w:color="000000" w:themeColor="text1"/>
              <w:bottom w:val="single" w:sz="8" w:space="0" w:color="000000" w:themeColor="text1"/>
              <w:right w:val="single" w:sz="15" w:space="0" w:color="000000" w:themeColor="text1"/>
            </w:tcBorders>
          </w:tcPr>
          <w:p w14:paraId="1B4E6087" w14:textId="77777777" w:rsidR="00926220" w:rsidRPr="002779F6" w:rsidRDefault="002F0166">
            <w:pPr>
              <w:rPr>
                <w:rFonts w:asciiTheme="minorHAnsi" w:hAnsiTheme="minorHAnsi"/>
              </w:rPr>
            </w:pPr>
            <w:r w:rsidRPr="002779F6">
              <w:rPr>
                <w:rFonts w:asciiTheme="minorHAnsi" w:hAnsiTheme="minorHAnsi"/>
              </w:rPr>
              <w:t>Printing</w:t>
            </w:r>
          </w:p>
        </w:tc>
      </w:tr>
      <w:tr w:rsidR="00926220" w:rsidRPr="002779F6" w14:paraId="5A6F405C" w14:textId="77777777" w:rsidTr="4C1960FD">
        <w:trPr>
          <w:trHeight w:val="286"/>
        </w:trPr>
        <w:tc>
          <w:tcPr>
            <w:tcW w:w="1619" w:type="dxa"/>
            <w:tcBorders>
              <w:top w:val="single" w:sz="8" w:space="0" w:color="000000" w:themeColor="text1"/>
              <w:left w:val="single" w:sz="15" w:space="0" w:color="000000" w:themeColor="text1"/>
              <w:bottom w:val="single" w:sz="8" w:space="0" w:color="000000" w:themeColor="text1"/>
              <w:right w:val="single" w:sz="8" w:space="0" w:color="000000" w:themeColor="text1"/>
            </w:tcBorders>
          </w:tcPr>
          <w:p w14:paraId="47A0ACCE" w14:textId="77777777" w:rsidR="00926220" w:rsidRPr="002779F6" w:rsidRDefault="002F0166">
            <w:pPr>
              <w:ind w:left="1"/>
              <w:rPr>
                <w:rFonts w:asciiTheme="minorHAnsi" w:hAnsiTheme="minorHAnsi"/>
              </w:rPr>
            </w:pPr>
            <w:r w:rsidRPr="002779F6">
              <w:rPr>
                <w:rFonts w:asciiTheme="minorHAnsi" w:hAnsiTheme="minorHAnsi"/>
              </w:rPr>
              <w:t>200.463</w:t>
            </w:r>
          </w:p>
        </w:tc>
        <w:tc>
          <w:tcPr>
            <w:tcW w:w="31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124289" w14:textId="77777777" w:rsidR="00926220" w:rsidRPr="002779F6" w:rsidRDefault="002F0166">
            <w:pPr>
              <w:ind w:left="2"/>
              <w:rPr>
                <w:rFonts w:asciiTheme="minorHAnsi" w:hAnsiTheme="minorHAnsi"/>
              </w:rPr>
            </w:pPr>
            <w:r w:rsidRPr="002779F6">
              <w:rPr>
                <w:rFonts w:asciiTheme="minorHAnsi" w:hAnsiTheme="minorHAnsi"/>
              </w:rPr>
              <w:t>Recruiting Costs</w:t>
            </w:r>
          </w:p>
        </w:tc>
        <w:tc>
          <w:tcPr>
            <w:tcW w:w="17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8F6A99" w14:textId="77777777" w:rsidR="00926220" w:rsidRPr="002779F6" w:rsidRDefault="002F0166">
            <w:pPr>
              <w:ind w:left="1"/>
              <w:rPr>
                <w:rFonts w:asciiTheme="minorHAnsi" w:hAnsiTheme="minorHAnsi"/>
              </w:rPr>
            </w:pPr>
            <w:r w:rsidRPr="002779F6">
              <w:rPr>
                <w:rFonts w:asciiTheme="minorHAnsi" w:hAnsiTheme="minorHAnsi"/>
              </w:rPr>
              <w:t>Other</w:t>
            </w:r>
          </w:p>
        </w:tc>
        <w:tc>
          <w:tcPr>
            <w:tcW w:w="3521" w:type="dxa"/>
            <w:tcBorders>
              <w:top w:val="single" w:sz="8" w:space="0" w:color="000000" w:themeColor="text1"/>
              <w:left w:val="single" w:sz="8" w:space="0" w:color="000000" w:themeColor="text1"/>
              <w:bottom w:val="single" w:sz="8" w:space="0" w:color="000000" w:themeColor="text1"/>
              <w:right w:val="single" w:sz="15" w:space="0" w:color="000000" w:themeColor="text1"/>
            </w:tcBorders>
          </w:tcPr>
          <w:p w14:paraId="7DF9278D" w14:textId="555CC590" w:rsidR="00926220" w:rsidRPr="002779F6" w:rsidRDefault="002F0166" w:rsidP="4EBFB8C0">
            <w:pPr>
              <w:ind w:left="1"/>
              <w:rPr>
                <w:rFonts w:asciiTheme="minorHAnsi" w:hAnsiTheme="minorHAnsi"/>
              </w:rPr>
            </w:pPr>
            <w:r w:rsidRPr="4EBFB8C0">
              <w:rPr>
                <w:rFonts w:asciiTheme="minorHAnsi" w:hAnsiTheme="minorHAnsi"/>
              </w:rPr>
              <w:t>Advertisement to recruit staff</w:t>
            </w:r>
          </w:p>
        </w:tc>
      </w:tr>
      <w:tr w:rsidR="00926220" w:rsidRPr="002779F6" w14:paraId="531A30A5" w14:textId="77777777" w:rsidTr="4C1960FD">
        <w:trPr>
          <w:trHeight w:val="286"/>
        </w:trPr>
        <w:tc>
          <w:tcPr>
            <w:tcW w:w="1619" w:type="dxa"/>
            <w:tcBorders>
              <w:top w:val="single" w:sz="8" w:space="0" w:color="000000" w:themeColor="text1"/>
              <w:left w:val="single" w:sz="15" w:space="0" w:color="000000" w:themeColor="text1"/>
              <w:bottom w:val="single" w:sz="8" w:space="0" w:color="000000" w:themeColor="text1"/>
              <w:right w:val="single" w:sz="8" w:space="0" w:color="000000" w:themeColor="text1"/>
            </w:tcBorders>
            <w:vAlign w:val="bottom"/>
          </w:tcPr>
          <w:p w14:paraId="1BA0930F" w14:textId="3D3C80EC" w:rsidR="00926220" w:rsidRPr="002779F6" w:rsidRDefault="0D7B5237" w:rsidP="13419010">
            <w:pPr>
              <w:ind w:left="1"/>
              <w:rPr>
                <w:rFonts w:asciiTheme="minorHAnsi" w:hAnsiTheme="minorHAnsi"/>
              </w:rPr>
            </w:pPr>
            <w:r w:rsidRPr="13419010">
              <w:rPr>
                <w:rFonts w:asciiTheme="minorHAnsi" w:hAnsiTheme="minorHAnsi"/>
              </w:rPr>
              <w:t>200.47</w:t>
            </w:r>
            <w:r w:rsidR="6D48B453" w:rsidRPr="13419010">
              <w:rPr>
                <w:rFonts w:asciiTheme="minorHAnsi" w:hAnsiTheme="minorHAnsi"/>
              </w:rPr>
              <w:t>1</w:t>
            </w:r>
          </w:p>
          <w:p w14:paraId="7904F83D" w14:textId="50B730B2" w:rsidR="00926220" w:rsidRPr="002779F6" w:rsidRDefault="00926220" w:rsidP="13419010">
            <w:pPr>
              <w:ind w:left="1"/>
              <w:rPr>
                <w:rFonts w:asciiTheme="minorHAnsi" w:hAnsiTheme="minorHAnsi"/>
              </w:rPr>
            </w:pPr>
          </w:p>
        </w:tc>
        <w:tc>
          <w:tcPr>
            <w:tcW w:w="31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A3EF429" w14:textId="047B772E" w:rsidR="00926220" w:rsidRPr="002779F6" w:rsidRDefault="5747C57A" w:rsidP="7A47057C">
            <w:pPr>
              <w:spacing w:line="259" w:lineRule="auto"/>
              <w:ind w:left="2"/>
              <w:rPr>
                <w:rFonts w:asciiTheme="minorHAnsi" w:hAnsiTheme="minorHAnsi"/>
              </w:rPr>
            </w:pPr>
            <w:r w:rsidRPr="13419010">
              <w:rPr>
                <w:rFonts w:asciiTheme="minorHAnsi" w:hAnsiTheme="minorHAnsi"/>
              </w:rPr>
              <w:t>Telecommunication costs and video surveillance</w:t>
            </w:r>
            <w:r w:rsidR="40089013" w:rsidRPr="13419010">
              <w:rPr>
                <w:rFonts w:asciiTheme="minorHAnsi" w:hAnsiTheme="minorHAnsi"/>
              </w:rPr>
              <w:t xml:space="preserve"> </w:t>
            </w:r>
          </w:p>
          <w:p w14:paraId="4EB42ECD" w14:textId="65CD4925" w:rsidR="00926220" w:rsidRPr="002779F6" w:rsidRDefault="40089013" w:rsidP="7A47057C">
            <w:pPr>
              <w:spacing w:line="259" w:lineRule="auto"/>
              <w:ind w:left="2"/>
              <w:rPr>
                <w:rFonts w:asciiTheme="minorHAnsi" w:hAnsiTheme="minorHAnsi"/>
              </w:rPr>
            </w:pPr>
            <w:r w:rsidRPr="13419010">
              <w:rPr>
                <w:rFonts w:asciiTheme="minorHAnsi" w:hAnsiTheme="minorHAnsi"/>
              </w:rPr>
              <w:t>Exceptions to these allowable costs are found in 2 CFR 200.216</w:t>
            </w:r>
          </w:p>
        </w:tc>
        <w:tc>
          <w:tcPr>
            <w:tcW w:w="174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8D138A5" w14:textId="77777777" w:rsidR="00926220" w:rsidRPr="002779F6" w:rsidRDefault="4041B899" w:rsidP="13419010">
            <w:pPr>
              <w:spacing w:line="259" w:lineRule="auto"/>
              <w:ind w:left="1"/>
              <w:rPr>
                <w:rFonts w:asciiTheme="minorHAnsi" w:hAnsiTheme="minorHAnsi"/>
              </w:rPr>
            </w:pPr>
            <w:r w:rsidRPr="13419010">
              <w:rPr>
                <w:rFonts w:asciiTheme="minorHAnsi" w:hAnsiTheme="minorHAnsi"/>
              </w:rPr>
              <w:t xml:space="preserve">Utilities/ Phone </w:t>
            </w:r>
          </w:p>
          <w:p w14:paraId="71744503" w14:textId="4147F85B" w:rsidR="00926220" w:rsidRPr="002779F6" w:rsidRDefault="4041B899" w:rsidP="13419010">
            <w:pPr>
              <w:spacing w:line="259" w:lineRule="auto"/>
              <w:ind w:left="1"/>
              <w:rPr>
                <w:rFonts w:asciiTheme="minorHAnsi" w:hAnsiTheme="minorHAnsi"/>
              </w:rPr>
            </w:pPr>
            <w:r w:rsidRPr="13419010">
              <w:rPr>
                <w:rFonts w:asciiTheme="minorHAnsi" w:hAnsiTheme="minorHAnsi"/>
              </w:rPr>
              <w:t>Service</w:t>
            </w:r>
          </w:p>
        </w:tc>
        <w:tc>
          <w:tcPr>
            <w:tcW w:w="3521" w:type="dxa"/>
            <w:tcBorders>
              <w:top w:val="single" w:sz="8" w:space="0" w:color="000000" w:themeColor="text1"/>
              <w:left w:val="single" w:sz="8" w:space="0" w:color="000000" w:themeColor="text1"/>
              <w:bottom w:val="single" w:sz="8" w:space="0" w:color="000000" w:themeColor="text1"/>
              <w:right w:val="single" w:sz="15" w:space="0" w:color="000000" w:themeColor="text1"/>
            </w:tcBorders>
            <w:vAlign w:val="bottom"/>
          </w:tcPr>
          <w:p w14:paraId="14887C6D" w14:textId="1AB8C0AE" w:rsidR="00926220" w:rsidRPr="002779F6" w:rsidRDefault="2C74E0B4" w:rsidP="13419010">
            <w:pPr>
              <w:ind w:left="1"/>
              <w:rPr>
                <w:rFonts w:asciiTheme="minorHAnsi" w:hAnsiTheme="minorHAnsi"/>
              </w:rPr>
            </w:pPr>
            <w:r w:rsidRPr="13419010">
              <w:rPr>
                <w:rFonts w:asciiTheme="minorHAnsi" w:hAnsiTheme="minorHAnsi"/>
              </w:rPr>
              <w:t>Phones, internet</w:t>
            </w:r>
            <w:r w:rsidR="66F4D3E3" w:rsidRPr="13419010">
              <w:rPr>
                <w:rFonts w:asciiTheme="minorHAnsi" w:hAnsiTheme="minorHAnsi"/>
              </w:rPr>
              <w:t xml:space="preserve"> &amp; cell phone service</w:t>
            </w:r>
          </w:p>
        </w:tc>
      </w:tr>
      <w:tr w:rsidR="7A47057C" w14:paraId="7EDEA909" w14:textId="77777777" w:rsidTr="4C1960FD">
        <w:trPr>
          <w:trHeight w:val="286"/>
        </w:trPr>
        <w:tc>
          <w:tcPr>
            <w:tcW w:w="1619" w:type="dxa"/>
            <w:tcBorders>
              <w:top w:val="single" w:sz="8" w:space="0" w:color="000000" w:themeColor="text1"/>
              <w:left w:val="single" w:sz="15" w:space="0" w:color="000000" w:themeColor="text1"/>
              <w:bottom w:val="single" w:sz="8" w:space="0" w:color="000000" w:themeColor="text1"/>
              <w:right w:val="single" w:sz="8" w:space="0" w:color="000000" w:themeColor="text1"/>
            </w:tcBorders>
          </w:tcPr>
          <w:p w14:paraId="06E0D332" w14:textId="2D6C0FC8" w:rsidR="31D61953" w:rsidRDefault="31D61953" w:rsidP="7A47057C">
            <w:pPr>
              <w:rPr>
                <w:rFonts w:asciiTheme="minorHAnsi" w:hAnsiTheme="minorHAnsi"/>
              </w:rPr>
            </w:pPr>
            <w:r w:rsidRPr="7A47057C">
              <w:rPr>
                <w:rFonts w:asciiTheme="minorHAnsi" w:hAnsiTheme="minorHAnsi"/>
              </w:rPr>
              <w:t>200.473</w:t>
            </w:r>
          </w:p>
        </w:tc>
        <w:tc>
          <w:tcPr>
            <w:tcW w:w="31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15AC30" w14:textId="77777777" w:rsidR="7A47057C" w:rsidRDefault="7A47057C" w:rsidP="7A47057C">
            <w:pPr>
              <w:ind w:left="2"/>
              <w:rPr>
                <w:rFonts w:asciiTheme="minorHAnsi" w:hAnsiTheme="minorHAnsi"/>
              </w:rPr>
            </w:pPr>
            <w:r w:rsidRPr="7A47057C">
              <w:rPr>
                <w:rFonts w:asciiTheme="minorHAnsi" w:hAnsiTheme="minorHAnsi"/>
              </w:rPr>
              <w:t>Training and education costs</w:t>
            </w:r>
          </w:p>
        </w:tc>
        <w:tc>
          <w:tcPr>
            <w:tcW w:w="17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3383C5" w14:textId="77777777" w:rsidR="7A47057C" w:rsidRDefault="7A47057C" w:rsidP="7A47057C">
            <w:pPr>
              <w:ind w:left="1"/>
              <w:rPr>
                <w:rFonts w:asciiTheme="minorHAnsi" w:hAnsiTheme="minorHAnsi"/>
              </w:rPr>
            </w:pPr>
            <w:r w:rsidRPr="7A47057C">
              <w:rPr>
                <w:rFonts w:asciiTheme="minorHAnsi" w:hAnsiTheme="minorHAnsi"/>
              </w:rPr>
              <w:t>Training</w:t>
            </w:r>
          </w:p>
        </w:tc>
        <w:tc>
          <w:tcPr>
            <w:tcW w:w="3521" w:type="dxa"/>
            <w:tcBorders>
              <w:top w:val="single" w:sz="8" w:space="0" w:color="000000" w:themeColor="text1"/>
              <w:left w:val="single" w:sz="8" w:space="0" w:color="000000" w:themeColor="text1"/>
              <w:bottom w:val="single" w:sz="8" w:space="0" w:color="000000" w:themeColor="text1"/>
              <w:right w:val="single" w:sz="15" w:space="0" w:color="000000" w:themeColor="text1"/>
            </w:tcBorders>
          </w:tcPr>
          <w:p w14:paraId="73379161" w14:textId="0834D964" w:rsidR="7A47057C" w:rsidRDefault="00EB7452" w:rsidP="7A47057C">
            <w:pPr>
              <w:ind w:left="1"/>
              <w:rPr>
                <w:rFonts w:asciiTheme="minorHAnsi" w:hAnsiTheme="minorHAnsi"/>
              </w:rPr>
            </w:pPr>
            <w:r>
              <w:rPr>
                <w:rFonts w:asciiTheme="minorHAnsi" w:hAnsiTheme="minorHAnsi"/>
              </w:rPr>
              <w:t xml:space="preserve">Examples: </w:t>
            </w:r>
            <w:r w:rsidRPr="003A1056">
              <w:t>Hanen Spark Training, The FIPP Fidelity Training, PLAY Project Certification Training</w:t>
            </w:r>
          </w:p>
        </w:tc>
      </w:tr>
      <w:tr w:rsidR="00926220" w:rsidRPr="002779F6" w14:paraId="2CE5992B" w14:textId="77777777" w:rsidTr="4C1960FD">
        <w:trPr>
          <w:trHeight w:val="286"/>
        </w:trPr>
        <w:tc>
          <w:tcPr>
            <w:tcW w:w="1619" w:type="dxa"/>
            <w:tcBorders>
              <w:top w:val="single" w:sz="8" w:space="0" w:color="000000" w:themeColor="text1"/>
              <w:left w:val="single" w:sz="15" w:space="0" w:color="000000" w:themeColor="text1"/>
              <w:bottom w:val="single" w:sz="8" w:space="0" w:color="000000" w:themeColor="text1"/>
              <w:right w:val="single" w:sz="8" w:space="0" w:color="000000" w:themeColor="text1"/>
            </w:tcBorders>
          </w:tcPr>
          <w:p w14:paraId="2EC91BFC" w14:textId="66460AB6" w:rsidR="00926220" w:rsidRPr="002779F6" w:rsidRDefault="002F0166" w:rsidP="7A47057C">
            <w:pPr>
              <w:ind w:left="1"/>
              <w:rPr>
                <w:rFonts w:asciiTheme="minorHAnsi" w:hAnsiTheme="minorHAnsi"/>
              </w:rPr>
            </w:pPr>
            <w:r w:rsidRPr="7A47057C">
              <w:rPr>
                <w:rFonts w:asciiTheme="minorHAnsi" w:hAnsiTheme="minorHAnsi"/>
              </w:rPr>
              <w:t>200.47</w:t>
            </w:r>
            <w:r w:rsidR="04DF9146" w:rsidRPr="7A47057C">
              <w:rPr>
                <w:rFonts w:asciiTheme="minorHAnsi" w:hAnsiTheme="minorHAnsi"/>
              </w:rPr>
              <w:t>4</w:t>
            </w:r>
          </w:p>
        </w:tc>
        <w:tc>
          <w:tcPr>
            <w:tcW w:w="31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43578E" w14:textId="77777777" w:rsidR="00926220" w:rsidRPr="002779F6" w:rsidRDefault="002F0166">
            <w:pPr>
              <w:ind w:left="2"/>
              <w:rPr>
                <w:rFonts w:asciiTheme="minorHAnsi" w:hAnsiTheme="minorHAnsi"/>
              </w:rPr>
            </w:pPr>
            <w:r w:rsidRPr="002779F6">
              <w:rPr>
                <w:rFonts w:asciiTheme="minorHAnsi" w:hAnsiTheme="minorHAnsi"/>
              </w:rPr>
              <w:t>Transportation costs</w:t>
            </w:r>
          </w:p>
        </w:tc>
        <w:tc>
          <w:tcPr>
            <w:tcW w:w="17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82C797" w14:textId="77777777" w:rsidR="00926220" w:rsidRPr="002779F6" w:rsidRDefault="002F0166">
            <w:pPr>
              <w:ind w:left="1"/>
              <w:rPr>
                <w:rFonts w:asciiTheme="minorHAnsi" w:hAnsiTheme="minorHAnsi"/>
              </w:rPr>
            </w:pPr>
            <w:r w:rsidRPr="002779F6">
              <w:rPr>
                <w:rFonts w:asciiTheme="minorHAnsi" w:hAnsiTheme="minorHAnsi"/>
              </w:rPr>
              <w:t>Supplies</w:t>
            </w:r>
          </w:p>
        </w:tc>
        <w:tc>
          <w:tcPr>
            <w:tcW w:w="3521" w:type="dxa"/>
            <w:tcBorders>
              <w:top w:val="single" w:sz="8" w:space="0" w:color="000000" w:themeColor="text1"/>
              <w:left w:val="single" w:sz="8" w:space="0" w:color="000000" w:themeColor="text1"/>
              <w:bottom w:val="single" w:sz="8" w:space="0" w:color="000000" w:themeColor="text1"/>
              <w:right w:val="single" w:sz="15" w:space="0" w:color="000000" w:themeColor="text1"/>
            </w:tcBorders>
          </w:tcPr>
          <w:p w14:paraId="722FBFFF" w14:textId="77777777" w:rsidR="00926220" w:rsidRPr="002779F6" w:rsidRDefault="002F0166">
            <w:pPr>
              <w:ind w:left="1"/>
              <w:rPr>
                <w:rFonts w:asciiTheme="minorHAnsi" w:hAnsiTheme="minorHAnsi"/>
              </w:rPr>
            </w:pPr>
            <w:r w:rsidRPr="002779F6">
              <w:rPr>
                <w:rFonts w:asciiTheme="minorHAnsi" w:hAnsiTheme="minorHAnsi"/>
              </w:rPr>
              <w:t>Stamps, FedEx, USPS services</w:t>
            </w:r>
          </w:p>
        </w:tc>
      </w:tr>
      <w:tr w:rsidR="00926220" w:rsidRPr="002779F6" w14:paraId="103D6D6A" w14:textId="77777777" w:rsidTr="4C1960FD">
        <w:trPr>
          <w:trHeight w:val="583"/>
        </w:trPr>
        <w:tc>
          <w:tcPr>
            <w:tcW w:w="1619" w:type="dxa"/>
            <w:tcBorders>
              <w:top w:val="single" w:sz="8" w:space="0" w:color="000000" w:themeColor="text1"/>
              <w:left w:val="single" w:sz="15" w:space="0" w:color="000000" w:themeColor="text1"/>
              <w:bottom w:val="single" w:sz="15" w:space="0" w:color="000000" w:themeColor="text1"/>
              <w:right w:val="single" w:sz="8" w:space="0" w:color="000000" w:themeColor="text1"/>
            </w:tcBorders>
            <w:vAlign w:val="bottom"/>
          </w:tcPr>
          <w:p w14:paraId="7F31C016" w14:textId="5ED56FF0" w:rsidR="00926220" w:rsidRPr="002779F6" w:rsidRDefault="002F0166" w:rsidP="7A47057C">
            <w:pPr>
              <w:ind w:left="1"/>
              <w:rPr>
                <w:rFonts w:asciiTheme="minorHAnsi" w:hAnsiTheme="minorHAnsi"/>
              </w:rPr>
            </w:pPr>
            <w:r w:rsidRPr="7A47057C">
              <w:rPr>
                <w:rFonts w:asciiTheme="minorHAnsi" w:hAnsiTheme="minorHAnsi"/>
              </w:rPr>
              <w:t>200.47</w:t>
            </w:r>
            <w:r w:rsidR="520DE27E" w:rsidRPr="7A47057C">
              <w:rPr>
                <w:rFonts w:asciiTheme="minorHAnsi" w:hAnsiTheme="minorHAnsi"/>
              </w:rPr>
              <w:t>5</w:t>
            </w:r>
          </w:p>
        </w:tc>
        <w:tc>
          <w:tcPr>
            <w:tcW w:w="3115" w:type="dxa"/>
            <w:tcBorders>
              <w:top w:val="single" w:sz="8" w:space="0" w:color="000000" w:themeColor="text1"/>
              <w:left w:val="single" w:sz="8" w:space="0" w:color="000000" w:themeColor="text1"/>
              <w:bottom w:val="single" w:sz="15" w:space="0" w:color="000000" w:themeColor="text1"/>
              <w:right w:val="single" w:sz="8" w:space="0" w:color="000000" w:themeColor="text1"/>
            </w:tcBorders>
            <w:vAlign w:val="bottom"/>
          </w:tcPr>
          <w:p w14:paraId="32A31869" w14:textId="77777777" w:rsidR="00926220" w:rsidRPr="002779F6" w:rsidRDefault="002F0166">
            <w:pPr>
              <w:ind w:left="2"/>
              <w:rPr>
                <w:rFonts w:asciiTheme="minorHAnsi" w:hAnsiTheme="minorHAnsi"/>
              </w:rPr>
            </w:pPr>
            <w:r w:rsidRPr="002779F6">
              <w:rPr>
                <w:rFonts w:asciiTheme="minorHAnsi" w:hAnsiTheme="minorHAnsi"/>
              </w:rPr>
              <w:t>Travel costs</w:t>
            </w:r>
          </w:p>
        </w:tc>
        <w:tc>
          <w:tcPr>
            <w:tcW w:w="1742" w:type="dxa"/>
            <w:tcBorders>
              <w:top w:val="single" w:sz="8" w:space="0" w:color="000000" w:themeColor="text1"/>
              <w:left w:val="single" w:sz="8" w:space="0" w:color="000000" w:themeColor="text1"/>
              <w:bottom w:val="single" w:sz="15" w:space="0" w:color="000000" w:themeColor="text1"/>
              <w:right w:val="single" w:sz="8" w:space="0" w:color="000000" w:themeColor="text1"/>
            </w:tcBorders>
            <w:vAlign w:val="bottom"/>
          </w:tcPr>
          <w:p w14:paraId="35EC36E8" w14:textId="77777777" w:rsidR="00926220" w:rsidRPr="002779F6" w:rsidRDefault="002F0166">
            <w:pPr>
              <w:ind w:left="2"/>
              <w:rPr>
                <w:rFonts w:asciiTheme="minorHAnsi" w:hAnsiTheme="minorHAnsi"/>
              </w:rPr>
            </w:pPr>
            <w:r w:rsidRPr="002779F6">
              <w:rPr>
                <w:rFonts w:asciiTheme="minorHAnsi" w:hAnsiTheme="minorHAnsi"/>
              </w:rPr>
              <w:t>Travel</w:t>
            </w:r>
          </w:p>
        </w:tc>
        <w:tc>
          <w:tcPr>
            <w:tcW w:w="3521" w:type="dxa"/>
            <w:tcBorders>
              <w:top w:val="single" w:sz="8" w:space="0" w:color="000000" w:themeColor="text1"/>
              <w:left w:val="single" w:sz="8" w:space="0" w:color="000000" w:themeColor="text1"/>
              <w:bottom w:val="single" w:sz="15" w:space="0" w:color="000000" w:themeColor="text1"/>
              <w:right w:val="single" w:sz="15" w:space="0" w:color="000000" w:themeColor="text1"/>
            </w:tcBorders>
          </w:tcPr>
          <w:p w14:paraId="4203360D" w14:textId="77777777" w:rsidR="00926220" w:rsidRPr="002779F6" w:rsidRDefault="002F0166">
            <w:pPr>
              <w:ind w:left="2"/>
              <w:rPr>
                <w:rFonts w:asciiTheme="minorHAnsi" w:hAnsiTheme="minorHAnsi"/>
              </w:rPr>
            </w:pPr>
            <w:r w:rsidRPr="002779F6">
              <w:rPr>
                <w:rFonts w:asciiTheme="minorHAnsi" w:hAnsiTheme="minorHAnsi"/>
              </w:rPr>
              <w:t>Mileage, transportation, lodging, meal per diem for employees</w:t>
            </w:r>
          </w:p>
        </w:tc>
      </w:tr>
    </w:tbl>
    <w:p w14:paraId="1D9D3FC9" w14:textId="77777777" w:rsidR="002F0166" w:rsidRPr="002779F6" w:rsidRDefault="002F0166">
      <w:pPr>
        <w:rPr>
          <w:rFonts w:asciiTheme="minorHAnsi" w:eastAsia="Segoe UI" w:hAnsiTheme="minorHAnsi" w:cs="Segoe UI"/>
          <w:sz w:val="48"/>
        </w:rPr>
      </w:pPr>
    </w:p>
    <w:p w14:paraId="226C24D8" w14:textId="0BEA38DA" w:rsidR="00926220" w:rsidRPr="00CE5AFF" w:rsidRDefault="00926220" w:rsidP="00CE5AFF">
      <w:pPr>
        <w:spacing w:after="0"/>
        <w:ind w:left="526"/>
        <w:rPr>
          <w:rFonts w:asciiTheme="minorHAnsi" w:hAnsiTheme="minorHAnsi"/>
        </w:rPr>
      </w:pPr>
    </w:p>
    <w:sectPr w:rsidR="00926220" w:rsidRPr="00CE5AFF">
      <w:headerReference w:type="default" r:id="rId7"/>
      <w:footerReference w:type="even" r:id="rId8"/>
      <w:footerReference w:type="default" r:id="rId9"/>
      <w:headerReference w:type="first" r:id="rId10"/>
      <w:footerReference w:type="first" r:id="rId11"/>
      <w:pgSz w:w="12240" w:h="15840"/>
      <w:pgMar w:top="720" w:right="195" w:bottom="715" w:left="1404"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8536D" w14:textId="77777777" w:rsidR="00A21AD7" w:rsidRDefault="00A21AD7">
      <w:pPr>
        <w:spacing w:after="0" w:line="240" w:lineRule="auto"/>
      </w:pPr>
      <w:r>
        <w:separator/>
      </w:r>
    </w:p>
  </w:endnote>
  <w:endnote w:type="continuationSeparator" w:id="0">
    <w:p w14:paraId="469654A0" w14:textId="77777777" w:rsidR="00A21AD7" w:rsidRDefault="00A21AD7">
      <w:pPr>
        <w:spacing w:after="0" w:line="240" w:lineRule="auto"/>
      </w:pPr>
      <w:r>
        <w:continuationSeparator/>
      </w:r>
    </w:p>
  </w:endnote>
  <w:endnote w:type="continuationNotice" w:id="1">
    <w:p w14:paraId="03356D4D" w14:textId="77777777" w:rsidR="00A21AD7" w:rsidRDefault="00A21A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0825" w14:textId="77777777" w:rsidR="00815E0A" w:rsidRDefault="00815E0A">
    <w:pPr>
      <w:tabs>
        <w:tab w:val="center" w:pos="4560"/>
        <w:tab w:val="center" w:pos="9122"/>
      </w:tabs>
      <w:spacing w:after="0"/>
    </w:pPr>
    <w:r>
      <w:rPr>
        <w:rFonts w:ascii="Times New Roman" w:eastAsia="Times New Roman" w:hAnsi="Times New Roman" w:cs="Times New Roman"/>
        <w:sz w:val="19"/>
      </w:rPr>
      <w:t xml:space="preserve">   </w:t>
    </w:r>
    <w:r>
      <w:rPr>
        <w:rFonts w:ascii="Times New Roman" w:eastAsia="Times New Roman" w:hAnsi="Times New Roman" w:cs="Times New Roman"/>
        <w:sz w:val="19"/>
      </w:rPr>
      <w:tab/>
      <w:t xml:space="preserve">New Section 1 Page </w:t>
    </w:r>
    <w:r>
      <w:fldChar w:fldCharType="begin"/>
    </w:r>
    <w:r>
      <w:instrText xml:space="preserve"> PAGE   \* MERGEFORMAT </w:instrText>
    </w:r>
    <w:r>
      <w:fldChar w:fldCharType="separate"/>
    </w:r>
    <w:r>
      <w:rPr>
        <w:rFonts w:ascii="Times New Roman" w:eastAsia="Times New Roman" w:hAnsi="Times New Roman" w:cs="Times New Roman"/>
        <w:sz w:val="19"/>
      </w:rPr>
      <w:t>2</w:t>
    </w:r>
    <w:r>
      <w:rPr>
        <w:rFonts w:ascii="Times New Roman" w:eastAsia="Times New Roman" w:hAnsi="Times New Roman" w:cs="Times New Roman"/>
        <w:sz w:val="19"/>
      </w:rPr>
      <w:fldChar w:fldCharType="end"/>
    </w:r>
    <w:r>
      <w:rPr>
        <w:rFonts w:ascii="Times New Roman" w:eastAsia="Times New Roman" w:hAnsi="Times New Roman" w:cs="Times New Roman"/>
        <w:sz w:val="19"/>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5474" w14:textId="785910E6" w:rsidR="00815E0A" w:rsidRDefault="00815E0A">
    <w:pPr>
      <w:tabs>
        <w:tab w:val="center" w:pos="4560"/>
        <w:tab w:val="center" w:pos="9122"/>
      </w:tabs>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47"/>
      <w:gridCol w:w="3547"/>
      <w:gridCol w:w="3547"/>
    </w:tblGrid>
    <w:tr w:rsidR="31FE8E6C" w14:paraId="30F49E0E" w14:textId="77777777" w:rsidTr="00E55187">
      <w:tc>
        <w:tcPr>
          <w:tcW w:w="3547" w:type="dxa"/>
        </w:tcPr>
        <w:p w14:paraId="26953486" w14:textId="25FEB64E" w:rsidR="31FE8E6C" w:rsidRDefault="0644AD55" w:rsidP="31FE8E6C">
          <w:pPr>
            <w:spacing w:after="0" w:line="240" w:lineRule="auto"/>
          </w:pPr>
          <w:r w:rsidRPr="0644AD55">
            <w:t xml:space="preserve">DODD </w:t>
          </w:r>
          <w:r w:rsidR="00ED5199">
            <w:t>EI ARPA</w:t>
          </w:r>
          <w:r w:rsidRPr="0644AD55">
            <w:t xml:space="preserve"> Agreement 7.1.21</w:t>
          </w:r>
        </w:p>
        <w:p w14:paraId="1B81987C" w14:textId="00B7C153" w:rsidR="31FE8E6C" w:rsidRDefault="31FE8E6C" w:rsidP="31FE8E6C">
          <w:pPr>
            <w:spacing w:after="0" w:line="240" w:lineRule="auto"/>
          </w:pPr>
        </w:p>
      </w:tc>
      <w:tc>
        <w:tcPr>
          <w:tcW w:w="3547" w:type="dxa"/>
        </w:tcPr>
        <w:p w14:paraId="18A0B034" w14:textId="2756ED86" w:rsidR="31FE8E6C" w:rsidRDefault="31FE8E6C" w:rsidP="00D00880">
          <w:pPr>
            <w:pStyle w:val="Header"/>
          </w:pPr>
        </w:p>
      </w:tc>
      <w:tc>
        <w:tcPr>
          <w:tcW w:w="3547" w:type="dxa"/>
        </w:tcPr>
        <w:p w14:paraId="06F4F076" w14:textId="34D7B27F" w:rsidR="31FE8E6C" w:rsidRDefault="005E5E38" w:rsidP="005E5E38">
          <w:pPr>
            <w:pStyle w:val="Header"/>
            <w:ind w:right="-115"/>
            <w:jc w:val="center"/>
          </w:pPr>
          <w:r w:rsidRPr="31FE8E6C">
            <w:t>Exhibit A - Allowable Costs</w:t>
          </w:r>
        </w:p>
      </w:tc>
    </w:tr>
  </w:tbl>
  <w:p w14:paraId="46825B3E" w14:textId="63F92050" w:rsidR="31FE8E6C" w:rsidRDefault="31FE8E6C" w:rsidP="00E55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59E93" w14:textId="77777777" w:rsidR="00A21AD7" w:rsidRDefault="00A21AD7">
      <w:pPr>
        <w:spacing w:after="0" w:line="240" w:lineRule="auto"/>
      </w:pPr>
      <w:r>
        <w:separator/>
      </w:r>
    </w:p>
  </w:footnote>
  <w:footnote w:type="continuationSeparator" w:id="0">
    <w:p w14:paraId="7B7FE213" w14:textId="77777777" w:rsidR="00A21AD7" w:rsidRDefault="00A21AD7">
      <w:pPr>
        <w:spacing w:after="0" w:line="240" w:lineRule="auto"/>
      </w:pPr>
      <w:r>
        <w:continuationSeparator/>
      </w:r>
    </w:p>
  </w:footnote>
  <w:footnote w:type="continuationNotice" w:id="1">
    <w:p w14:paraId="4A33FA01" w14:textId="77777777" w:rsidR="00A21AD7" w:rsidRDefault="00A21A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47"/>
      <w:gridCol w:w="3547"/>
      <w:gridCol w:w="3547"/>
    </w:tblGrid>
    <w:tr w:rsidR="31FE8E6C" w14:paraId="04A61B07" w14:textId="77777777" w:rsidTr="13419010">
      <w:tc>
        <w:tcPr>
          <w:tcW w:w="3547" w:type="dxa"/>
        </w:tcPr>
        <w:p w14:paraId="531A7F84" w14:textId="513ED90D" w:rsidR="31FE8E6C" w:rsidRDefault="31FE8E6C" w:rsidP="13419010">
          <w:pPr>
            <w:pStyle w:val="Header"/>
            <w:ind w:left="-115"/>
          </w:pPr>
        </w:p>
      </w:tc>
      <w:tc>
        <w:tcPr>
          <w:tcW w:w="3547" w:type="dxa"/>
        </w:tcPr>
        <w:p w14:paraId="6B195A12" w14:textId="1EED248D" w:rsidR="31FE8E6C" w:rsidRDefault="31FE8E6C" w:rsidP="00E55187">
          <w:pPr>
            <w:pStyle w:val="Header"/>
            <w:jc w:val="center"/>
          </w:pPr>
        </w:p>
      </w:tc>
      <w:tc>
        <w:tcPr>
          <w:tcW w:w="3547" w:type="dxa"/>
        </w:tcPr>
        <w:p w14:paraId="2F20C972" w14:textId="62A57C89" w:rsidR="31FE8E6C" w:rsidRDefault="31FE8E6C" w:rsidP="00E55187">
          <w:pPr>
            <w:pStyle w:val="Header"/>
            <w:ind w:right="-115"/>
            <w:jc w:val="right"/>
          </w:pPr>
        </w:p>
      </w:tc>
    </w:tr>
  </w:tbl>
  <w:p w14:paraId="43C23AD9" w14:textId="1171CDAA" w:rsidR="31FE8E6C" w:rsidRDefault="31FE8E6C" w:rsidP="00E551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47"/>
      <w:gridCol w:w="3547"/>
      <w:gridCol w:w="3547"/>
    </w:tblGrid>
    <w:tr w:rsidR="31FE8E6C" w14:paraId="763F732B" w14:textId="77777777" w:rsidTr="00E55187">
      <w:tc>
        <w:tcPr>
          <w:tcW w:w="3547" w:type="dxa"/>
        </w:tcPr>
        <w:p w14:paraId="769AE1E4" w14:textId="3C3D1179" w:rsidR="31FE8E6C" w:rsidRDefault="31FE8E6C" w:rsidP="00E55187">
          <w:pPr>
            <w:pStyle w:val="Header"/>
            <w:ind w:left="-115"/>
          </w:pPr>
        </w:p>
      </w:tc>
      <w:tc>
        <w:tcPr>
          <w:tcW w:w="3547" w:type="dxa"/>
        </w:tcPr>
        <w:p w14:paraId="74F1AEB9" w14:textId="57B8506E" w:rsidR="31FE8E6C" w:rsidRDefault="31FE8E6C" w:rsidP="00E55187">
          <w:pPr>
            <w:pStyle w:val="Header"/>
            <w:jc w:val="center"/>
          </w:pPr>
        </w:p>
      </w:tc>
      <w:tc>
        <w:tcPr>
          <w:tcW w:w="3547" w:type="dxa"/>
        </w:tcPr>
        <w:p w14:paraId="5A5ABADB" w14:textId="6FD73BC0" w:rsidR="31FE8E6C" w:rsidRDefault="31FE8E6C" w:rsidP="00E55187">
          <w:pPr>
            <w:pStyle w:val="Header"/>
            <w:ind w:right="-115"/>
            <w:jc w:val="right"/>
          </w:pPr>
        </w:p>
      </w:tc>
    </w:tr>
  </w:tbl>
  <w:p w14:paraId="6BE36A37" w14:textId="237595AE" w:rsidR="31FE8E6C" w:rsidRDefault="31FE8E6C" w:rsidP="00E55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35396"/>
    <w:multiLevelType w:val="hybridMultilevel"/>
    <w:tmpl w:val="C6B49AC0"/>
    <w:lvl w:ilvl="0" w:tplc="6358BA08">
      <w:start w:val="18"/>
      <w:numFmt w:val="decimal"/>
      <w:lvlText w:val="%1."/>
      <w:lvlJc w:val="left"/>
      <w:pPr>
        <w:ind w:left="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3AF5BA">
      <w:start w:val="1"/>
      <w:numFmt w:val="decimal"/>
      <w:lvlText w:val="%2."/>
      <w:lvlJc w:val="left"/>
      <w:pPr>
        <w:ind w:left="5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5681FF0">
      <w:start w:val="1"/>
      <w:numFmt w:val="lowerLetter"/>
      <w:lvlText w:val="%3."/>
      <w:lvlJc w:val="left"/>
      <w:pPr>
        <w:ind w:left="10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61833F8">
      <w:start w:val="1"/>
      <w:numFmt w:val="decimal"/>
      <w:lvlText w:val="%4"/>
      <w:lvlJc w:val="left"/>
      <w:pPr>
        <w:ind w:left="182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3544134">
      <w:start w:val="1"/>
      <w:numFmt w:val="lowerLetter"/>
      <w:lvlText w:val="%5"/>
      <w:lvlJc w:val="left"/>
      <w:pPr>
        <w:ind w:left="254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3C22EC0">
      <w:start w:val="1"/>
      <w:numFmt w:val="lowerRoman"/>
      <w:lvlText w:val="%6"/>
      <w:lvlJc w:val="left"/>
      <w:pPr>
        <w:ind w:left="326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C9AE0A2">
      <w:start w:val="1"/>
      <w:numFmt w:val="decimal"/>
      <w:lvlText w:val="%7"/>
      <w:lvlJc w:val="left"/>
      <w:pPr>
        <w:ind w:left="39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D4AE646">
      <w:start w:val="1"/>
      <w:numFmt w:val="lowerLetter"/>
      <w:lvlText w:val="%8"/>
      <w:lvlJc w:val="left"/>
      <w:pPr>
        <w:ind w:left="470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524AC78">
      <w:start w:val="1"/>
      <w:numFmt w:val="lowerRoman"/>
      <w:lvlText w:val="%9"/>
      <w:lvlJc w:val="left"/>
      <w:pPr>
        <w:ind w:left="542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CAA7617"/>
    <w:multiLevelType w:val="hybridMultilevel"/>
    <w:tmpl w:val="20ACA886"/>
    <w:lvl w:ilvl="0" w:tplc="ABBCBE12">
      <w:start w:val="7"/>
      <w:numFmt w:val="decimal"/>
      <w:lvlText w:val="%1."/>
      <w:lvlJc w:val="left"/>
      <w:pPr>
        <w:ind w:left="5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9F483AC">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0AE199A">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6087876">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FBCF054">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F860A9A">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3C67998">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5EF65C6A">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23449D8">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FBB2620"/>
    <w:multiLevelType w:val="hybridMultilevel"/>
    <w:tmpl w:val="C3ECEB92"/>
    <w:lvl w:ilvl="0" w:tplc="C3180A00">
      <w:start w:val="13"/>
      <w:numFmt w:val="decimal"/>
      <w:lvlText w:val="%1."/>
      <w:lvlJc w:val="left"/>
      <w:pPr>
        <w:ind w:left="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E8D79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2E465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C6845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CE3AA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A2453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CC9CC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A2E96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E2214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9F4884"/>
    <w:multiLevelType w:val="hybridMultilevel"/>
    <w:tmpl w:val="86E0DB3A"/>
    <w:lvl w:ilvl="0" w:tplc="F2684246">
      <w:start w:val="24"/>
      <w:numFmt w:val="decimal"/>
      <w:lvlText w:val="%1."/>
      <w:lvlJc w:val="left"/>
      <w:pPr>
        <w:ind w:left="5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7DCDB2E">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430C20A">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C2630A4">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2B06D8E">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B58D8EC">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136EB7A">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7AADC58">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72C6798">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3955D1E"/>
    <w:multiLevelType w:val="hybridMultilevel"/>
    <w:tmpl w:val="5EEE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04269C"/>
    <w:multiLevelType w:val="hybridMultilevel"/>
    <w:tmpl w:val="E9F4E300"/>
    <w:lvl w:ilvl="0" w:tplc="1EF05532">
      <w:start w:val="16"/>
      <w:numFmt w:val="decimal"/>
      <w:lvlText w:val="%1."/>
      <w:lvlJc w:val="left"/>
      <w:pPr>
        <w:ind w:left="5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756D6A4">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88A9584">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D604D0A">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3C4B294">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9628344">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1A06A54">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27ECF56">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7106BE8">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D1B62F8"/>
    <w:multiLevelType w:val="hybridMultilevel"/>
    <w:tmpl w:val="03FC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236B9F"/>
    <w:multiLevelType w:val="hybridMultilevel"/>
    <w:tmpl w:val="DCF4F514"/>
    <w:lvl w:ilvl="0" w:tplc="C422CEFE">
      <w:start w:val="1"/>
      <w:numFmt w:val="decimal"/>
      <w:lvlText w:val="%1."/>
      <w:lvlJc w:val="left"/>
      <w:pPr>
        <w:ind w:left="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EE8B44">
      <w:start w:val="1"/>
      <w:numFmt w:val="lowerLetter"/>
      <w:lvlText w:val="%2."/>
      <w:lvlJc w:val="left"/>
      <w:pPr>
        <w:ind w:left="10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747AA8">
      <w:start w:val="1"/>
      <w:numFmt w:val="lowerRoman"/>
      <w:lvlText w:val="%3"/>
      <w:lvlJc w:val="left"/>
      <w:pPr>
        <w:ind w:left="1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6CEFC8">
      <w:start w:val="1"/>
      <w:numFmt w:val="decimal"/>
      <w:lvlText w:val="%4"/>
      <w:lvlJc w:val="left"/>
      <w:pPr>
        <w:ind w:left="2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D8916E">
      <w:start w:val="1"/>
      <w:numFmt w:val="lowerLetter"/>
      <w:lvlText w:val="%5"/>
      <w:lvlJc w:val="left"/>
      <w:pPr>
        <w:ind w:left="3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76640C">
      <w:start w:val="1"/>
      <w:numFmt w:val="lowerRoman"/>
      <w:lvlText w:val="%6"/>
      <w:lvlJc w:val="left"/>
      <w:pPr>
        <w:ind w:left="3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EC4956">
      <w:start w:val="1"/>
      <w:numFmt w:val="decimal"/>
      <w:lvlText w:val="%7"/>
      <w:lvlJc w:val="left"/>
      <w:pPr>
        <w:ind w:left="4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360DB8">
      <w:start w:val="1"/>
      <w:numFmt w:val="lowerLetter"/>
      <w:lvlText w:val="%8"/>
      <w:lvlJc w:val="left"/>
      <w:pPr>
        <w:ind w:left="5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827B06">
      <w:start w:val="1"/>
      <w:numFmt w:val="lowerRoman"/>
      <w:lvlText w:val="%9"/>
      <w:lvlJc w:val="left"/>
      <w:pPr>
        <w:ind w:left="6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93A2518"/>
    <w:multiLevelType w:val="hybridMultilevel"/>
    <w:tmpl w:val="907423B0"/>
    <w:lvl w:ilvl="0" w:tplc="80222D9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24406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5C843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5222D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440CA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E283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78036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EAD86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F6EE1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E1E3E5F"/>
    <w:multiLevelType w:val="hybridMultilevel"/>
    <w:tmpl w:val="E540463E"/>
    <w:lvl w:ilvl="0" w:tplc="35E27D9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6E33D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145D6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A6775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A479A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740E8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08A3B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16C22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38413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2197D58"/>
    <w:multiLevelType w:val="hybridMultilevel"/>
    <w:tmpl w:val="FCEED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497BFA"/>
    <w:multiLevelType w:val="hybridMultilevel"/>
    <w:tmpl w:val="D9FE95EA"/>
    <w:lvl w:ilvl="0" w:tplc="DC347464">
      <w:start w:val="6"/>
      <w:numFmt w:val="decimal"/>
      <w:lvlText w:val="%1."/>
      <w:lvlJc w:val="left"/>
      <w:pPr>
        <w:ind w:left="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009A2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BA070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FEA9E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FEC22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42CBB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CEBEE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641A8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C2B48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9"/>
  </w:num>
  <w:num w:numId="3">
    <w:abstractNumId w:val="7"/>
  </w:num>
  <w:num w:numId="4">
    <w:abstractNumId w:val="11"/>
  </w:num>
  <w:num w:numId="5">
    <w:abstractNumId w:val="2"/>
  </w:num>
  <w:num w:numId="6">
    <w:abstractNumId w:val="0"/>
  </w:num>
  <w:num w:numId="7">
    <w:abstractNumId w:val="1"/>
  </w:num>
  <w:num w:numId="8">
    <w:abstractNumId w:val="5"/>
  </w:num>
  <w:num w:numId="9">
    <w:abstractNumId w:val="3"/>
  </w:num>
  <w:num w:numId="10">
    <w:abstractNumId w:val="10"/>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220"/>
    <w:rsid w:val="000154D4"/>
    <w:rsid w:val="00022207"/>
    <w:rsid w:val="000A3901"/>
    <w:rsid w:val="000F5DAE"/>
    <w:rsid w:val="00147FFA"/>
    <w:rsid w:val="00151EFC"/>
    <w:rsid w:val="001D0CB5"/>
    <w:rsid w:val="002108CF"/>
    <w:rsid w:val="00213125"/>
    <w:rsid w:val="00233D36"/>
    <w:rsid w:val="002779F6"/>
    <w:rsid w:val="002A3745"/>
    <w:rsid w:val="002B574A"/>
    <w:rsid w:val="002C1440"/>
    <w:rsid w:val="002D3702"/>
    <w:rsid w:val="002E1B47"/>
    <w:rsid w:val="002F0166"/>
    <w:rsid w:val="003255E9"/>
    <w:rsid w:val="00352039"/>
    <w:rsid w:val="0038685A"/>
    <w:rsid w:val="003910D4"/>
    <w:rsid w:val="004679FF"/>
    <w:rsid w:val="0049754C"/>
    <w:rsid w:val="0050307C"/>
    <w:rsid w:val="005479F6"/>
    <w:rsid w:val="00572D22"/>
    <w:rsid w:val="005E3B0A"/>
    <w:rsid w:val="005E5E38"/>
    <w:rsid w:val="006440B7"/>
    <w:rsid w:val="00662562"/>
    <w:rsid w:val="00696D4B"/>
    <w:rsid w:val="006A1993"/>
    <w:rsid w:val="006D53B1"/>
    <w:rsid w:val="00716C18"/>
    <w:rsid w:val="0073722A"/>
    <w:rsid w:val="00750AA7"/>
    <w:rsid w:val="0076675C"/>
    <w:rsid w:val="007C599E"/>
    <w:rsid w:val="007F0063"/>
    <w:rsid w:val="00815E0A"/>
    <w:rsid w:val="00840EEB"/>
    <w:rsid w:val="00890868"/>
    <w:rsid w:val="00891D8B"/>
    <w:rsid w:val="0089658E"/>
    <w:rsid w:val="008B2257"/>
    <w:rsid w:val="008B5738"/>
    <w:rsid w:val="00926220"/>
    <w:rsid w:val="009665C9"/>
    <w:rsid w:val="00967340"/>
    <w:rsid w:val="0099448B"/>
    <w:rsid w:val="00A010B7"/>
    <w:rsid w:val="00A10C7A"/>
    <w:rsid w:val="00A10FA7"/>
    <w:rsid w:val="00A21AD7"/>
    <w:rsid w:val="00A3757F"/>
    <w:rsid w:val="00AE1B0E"/>
    <w:rsid w:val="00B17E41"/>
    <w:rsid w:val="00B85765"/>
    <w:rsid w:val="00BA29BB"/>
    <w:rsid w:val="00BA771C"/>
    <w:rsid w:val="00BD0D06"/>
    <w:rsid w:val="00C00868"/>
    <w:rsid w:val="00C05912"/>
    <w:rsid w:val="00C531AA"/>
    <w:rsid w:val="00C868C9"/>
    <w:rsid w:val="00CE5AFF"/>
    <w:rsid w:val="00D00880"/>
    <w:rsid w:val="00D17328"/>
    <w:rsid w:val="00D6078C"/>
    <w:rsid w:val="00DA238D"/>
    <w:rsid w:val="00DA4653"/>
    <w:rsid w:val="00DE0729"/>
    <w:rsid w:val="00DF1564"/>
    <w:rsid w:val="00E07763"/>
    <w:rsid w:val="00E55187"/>
    <w:rsid w:val="00EB7452"/>
    <w:rsid w:val="00EC03EF"/>
    <w:rsid w:val="00EC04BC"/>
    <w:rsid w:val="00EC2A8E"/>
    <w:rsid w:val="00ED5199"/>
    <w:rsid w:val="00ED6ED1"/>
    <w:rsid w:val="00F44CA0"/>
    <w:rsid w:val="00F77AEC"/>
    <w:rsid w:val="00F95AE3"/>
    <w:rsid w:val="00FD69E5"/>
    <w:rsid w:val="00FE3B7F"/>
    <w:rsid w:val="025BBACF"/>
    <w:rsid w:val="0496C880"/>
    <w:rsid w:val="04B75FE1"/>
    <w:rsid w:val="04DF9146"/>
    <w:rsid w:val="0551D8BF"/>
    <w:rsid w:val="05D994CE"/>
    <w:rsid w:val="0644AD55"/>
    <w:rsid w:val="076F45CC"/>
    <w:rsid w:val="08987287"/>
    <w:rsid w:val="091DF120"/>
    <w:rsid w:val="09C98390"/>
    <w:rsid w:val="0AD0F5D2"/>
    <w:rsid w:val="0D7B5237"/>
    <w:rsid w:val="0F9A834A"/>
    <w:rsid w:val="13419010"/>
    <w:rsid w:val="18C641D9"/>
    <w:rsid w:val="1AF0C575"/>
    <w:rsid w:val="1E3B720E"/>
    <w:rsid w:val="1EC9CC5B"/>
    <w:rsid w:val="1FAC8B10"/>
    <w:rsid w:val="21B606FB"/>
    <w:rsid w:val="223337E6"/>
    <w:rsid w:val="25860DD9"/>
    <w:rsid w:val="28568EE8"/>
    <w:rsid w:val="29EAACC4"/>
    <w:rsid w:val="2C74E0B4"/>
    <w:rsid w:val="2CF3B43D"/>
    <w:rsid w:val="2EDBB687"/>
    <w:rsid w:val="317E1849"/>
    <w:rsid w:val="31D61953"/>
    <w:rsid w:val="31FE8E6C"/>
    <w:rsid w:val="35233020"/>
    <w:rsid w:val="362FB43C"/>
    <w:rsid w:val="39586E06"/>
    <w:rsid w:val="3A959E80"/>
    <w:rsid w:val="3E7E8E20"/>
    <w:rsid w:val="40089013"/>
    <w:rsid w:val="4041B899"/>
    <w:rsid w:val="41799289"/>
    <w:rsid w:val="43810711"/>
    <w:rsid w:val="4496A7AC"/>
    <w:rsid w:val="46B00BB2"/>
    <w:rsid w:val="4C1960FD"/>
    <w:rsid w:val="4C53D4A2"/>
    <w:rsid w:val="4DAB5B22"/>
    <w:rsid w:val="4DD6CC1D"/>
    <w:rsid w:val="4EBFB8C0"/>
    <w:rsid w:val="50B86DEA"/>
    <w:rsid w:val="520DE27E"/>
    <w:rsid w:val="52C878DF"/>
    <w:rsid w:val="53E160E4"/>
    <w:rsid w:val="565B4395"/>
    <w:rsid w:val="5691D8F6"/>
    <w:rsid w:val="5747C57A"/>
    <w:rsid w:val="5D00CB03"/>
    <w:rsid w:val="63EF380B"/>
    <w:rsid w:val="64FD4245"/>
    <w:rsid w:val="66F4D3E3"/>
    <w:rsid w:val="6957D9A5"/>
    <w:rsid w:val="6AA99791"/>
    <w:rsid w:val="6B32DAD5"/>
    <w:rsid w:val="6C766943"/>
    <w:rsid w:val="6D48B453"/>
    <w:rsid w:val="6DCC26E1"/>
    <w:rsid w:val="6E867100"/>
    <w:rsid w:val="7129799C"/>
    <w:rsid w:val="72C549FD"/>
    <w:rsid w:val="72D47833"/>
    <w:rsid w:val="741993B9"/>
    <w:rsid w:val="74611A5E"/>
    <w:rsid w:val="75FCEABF"/>
    <w:rsid w:val="77307428"/>
    <w:rsid w:val="7A4705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9AC111"/>
  <w15:docId w15:val="{87A5A9D5-DE7D-4F74-84C7-6DB71CBC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F01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166"/>
    <w:rPr>
      <w:rFonts w:ascii="Segoe UI" w:eastAsia="Calibri" w:hAnsi="Segoe UI" w:cs="Segoe UI"/>
      <w:color w:val="000000"/>
      <w:sz w:val="18"/>
      <w:szCs w:val="18"/>
    </w:rPr>
  </w:style>
  <w:style w:type="paragraph" w:styleId="NoSpacing">
    <w:name w:val="No Spacing"/>
    <w:uiPriority w:val="1"/>
    <w:qFormat/>
    <w:rsid w:val="002779F6"/>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7F0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063"/>
    <w:rPr>
      <w:rFonts w:ascii="Calibri" w:eastAsia="Calibri" w:hAnsi="Calibri" w:cs="Calibri"/>
      <w:color w:val="000000"/>
    </w:rPr>
  </w:style>
  <w:style w:type="character" w:styleId="CommentReference">
    <w:name w:val="annotation reference"/>
    <w:basedOn w:val="DefaultParagraphFont"/>
    <w:uiPriority w:val="99"/>
    <w:semiHidden/>
    <w:unhideWhenUsed/>
    <w:rsid w:val="00696D4B"/>
    <w:rPr>
      <w:sz w:val="16"/>
      <w:szCs w:val="16"/>
    </w:rPr>
  </w:style>
  <w:style w:type="paragraph" w:styleId="CommentText">
    <w:name w:val="annotation text"/>
    <w:basedOn w:val="Normal"/>
    <w:link w:val="CommentTextChar"/>
    <w:uiPriority w:val="99"/>
    <w:unhideWhenUsed/>
    <w:rsid w:val="00696D4B"/>
    <w:pPr>
      <w:spacing w:line="240" w:lineRule="auto"/>
    </w:pPr>
    <w:rPr>
      <w:sz w:val="20"/>
      <w:szCs w:val="20"/>
    </w:rPr>
  </w:style>
  <w:style w:type="character" w:customStyle="1" w:styleId="CommentTextChar">
    <w:name w:val="Comment Text Char"/>
    <w:basedOn w:val="DefaultParagraphFont"/>
    <w:link w:val="CommentText"/>
    <w:uiPriority w:val="99"/>
    <w:rsid w:val="00696D4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96D4B"/>
    <w:rPr>
      <w:b/>
      <w:bCs/>
    </w:rPr>
  </w:style>
  <w:style w:type="character" w:customStyle="1" w:styleId="CommentSubjectChar">
    <w:name w:val="Comment Subject Char"/>
    <w:basedOn w:val="CommentTextChar"/>
    <w:link w:val="CommentSubject"/>
    <w:uiPriority w:val="99"/>
    <w:semiHidden/>
    <w:rsid w:val="00696D4B"/>
    <w:rPr>
      <w:rFonts w:ascii="Calibri" w:eastAsia="Calibri" w:hAnsi="Calibri" w:cs="Calibri"/>
      <w:b/>
      <w:bCs/>
      <w:color w:val="000000"/>
      <w:sz w:val="20"/>
      <w:szCs w:val="20"/>
    </w:rPr>
  </w:style>
  <w:style w:type="paragraph" w:styleId="ListParagraph">
    <w:name w:val="List Paragraph"/>
    <w:basedOn w:val="Normal"/>
    <w:uiPriority w:val="34"/>
    <w:qFormat/>
    <w:rsid w:val="00147FFA"/>
    <w:pPr>
      <w:ind w:left="720"/>
      <w:contextualSpacing/>
    </w:pPr>
  </w:style>
  <w:style w:type="paragraph" w:styleId="Footer">
    <w:name w:val="footer"/>
    <w:basedOn w:val="Normal"/>
    <w:link w:val="FooterChar"/>
    <w:uiPriority w:val="99"/>
    <w:unhideWhenUsed/>
    <w:rsid w:val="000A3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901"/>
    <w:rPr>
      <w:rFonts w:ascii="Calibri" w:eastAsia="Calibri" w:hAnsi="Calibri" w:cs="Calibri"/>
      <w:color w:val="000000"/>
    </w:rPr>
  </w:style>
  <w:style w:type="character" w:styleId="UnresolvedMention">
    <w:name w:val="Unresolved Mention"/>
    <w:basedOn w:val="DefaultParagraphFont"/>
    <w:uiPriority w:val="99"/>
    <w:unhideWhenUsed/>
    <w:rsid w:val="0038685A"/>
    <w:rPr>
      <w:color w:val="605E5C"/>
      <w:shd w:val="clear" w:color="auto" w:fill="E1DFDD"/>
    </w:rPr>
  </w:style>
  <w:style w:type="character" w:styleId="Mention">
    <w:name w:val="Mention"/>
    <w:basedOn w:val="DefaultParagraphFont"/>
    <w:uiPriority w:val="99"/>
    <w:unhideWhenUsed/>
    <w:rsid w:val="0038685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910</Words>
  <Characters>5189</Characters>
  <Application>Microsoft Office Word</Application>
  <DocSecurity>0</DocSecurity>
  <Lines>43</Lines>
  <Paragraphs>12</Paragraphs>
  <ScaleCrop>false</ScaleCrop>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Foskuhl, Jacob</dc:creator>
  <cp:keywords/>
  <cp:lastModifiedBy>Funk, Jessica</cp:lastModifiedBy>
  <cp:revision>79</cp:revision>
  <dcterms:created xsi:type="dcterms:W3CDTF">2019-03-14T20:17:00Z</dcterms:created>
  <dcterms:modified xsi:type="dcterms:W3CDTF">2021-10-07T13:08:00Z</dcterms:modified>
</cp:coreProperties>
</file>